
<file path=[Content_Types].xml><?xml version="1.0" encoding="utf-8"?>
<Types xmlns="http://schemas.openxmlformats.org/package/2006/content-types">
  <Default Extension="xml" ContentType="application/xml"/>
  <Default Extension="emf" ContentType="image/x-e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C6A002">
      <w:pPr>
        <w:ind w:left="4680" w:hanging="4680" w:hangingChars="900"/>
        <w:rPr>
          <w:rFonts w:ascii="黑体" w:hAnsi="Calibri" w:eastAsia="黑体"/>
          <w:sz w:val="18"/>
          <w:szCs w:val="18"/>
        </w:rPr>
      </w:pPr>
      <w:r>
        <w:rPr>
          <w:rFonts w:hint="eastAsia" w:ascii="宋体" w:hAnsi="宋体" w:cs="黑体"/>
          <w:kern w:val="0"/>
          <w:sz w:val="52"/>
          <w:szCs w:val="52"/>
        </w:rPr>
        <w:t xml:space="preserve">                  </w:t>
      </w:r>
      <w:r>
        <w:rPr>
          <w:sz w:val="84"/>
          <w:szCs w:val="84"/>
        </w:rPr>
        <w:drawing>
          <wp:inline distT="0" distB="0" distL="0" distR="0">
            <wp:extent cx="1743075" cy="666750"/>
            <wp:effectExtent l="19050" t="0" r="9525"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noChangeArrowheads="1"/>
                    </pic:cNvPicPr>
                  </pic:nvPicPr>
                  <pic:blipFill>
                    <a:blip r:embed="rId10" cstate="print"/>
                    <a:srcRect/>
                    <a:stretch>
                      <a:fillRect/>
                    </a:stretch>
                  </pic:blipFill>
                  <pic:spPr>
                    <a:xfrm>
                      <a:off x="0" y="0"/>
                      <a:ext cx="1743075" cy="666750"/>
                    </a:xfrm>
                    <a:prstGeom prst="rect">
                      <a:avLst/>
                    </a:prstGeom>
                    <a:noFill/>
                    <a:ln w="9525">
                      <a:noFill/>
                      <a:miter lim="800000"/>
                      <a:headEnd/>
                      <a:tailEnd/>
                    </a:ln>
                  </pic:spPr>
                </pic:pic>
              </a:graphicData>
            </a:graphic>
          </wp:inline>
        </w:drawing>
      </w:r>
      <w:r>
        <w:rPr>
          <w:rFonts w:hint="eastAsia" w:ascii="黑体" w:hAnsi="Calibri" w:eastAsia="黑体"/>
          <w:sz w:val="84"/>
          <w:szCs w:val="84"/>
        </w:rPr>
        <w:t xml:space="preserve">(皖) </w:t>
      </w:r>
    </w:p>
    <w:p w14:paraId="432523E9">
      <w:pPr>
        <w:spacing w:line="100" w:lineRule="atLeast"/>
        <w:ind w:firstLine="430"/>
        <w:rPr>
          <w:rFonts w:ascii="楷体" w:hAnsi="楷体" w:eastAsia="楷体"/>
          <w:w w:val="120"/>
          <w:sz w:val="18"/>
          <w:szCs w:val="18"/>
        </w:rPr>
      </w:pPr>
      <w:r>
        <w:rPr>
          <w:rFonts w:hint="eastAsia" w:ascii="楷体" w:hAnsi="楷体" w:eastAsia="楷体"/>
          <w:w w:val="120"/>
          <w:sz w:val="18"/>
          <w:szCs w:val="18"/>
        </w:rPr>
        <w:t xml:space="preserve">                                                                                         </w:t>
      </w:r>
    </w:p>
    <w:p w14:paraId="4638DD6B">
      <w:pPr>
        <w:ind w:firstLine="1243"/>
        <w:rPr>
          <w:rFonts w:ascii="方正小标宋_GBK" w:hAnsi="Calibri" w:eastAsia="方正小标宋_GBK"/>
          <w:w w:val="120"/>
          <w:sz w:val="52"/>
          <w:szCs w:val="52"/>
        </w:rPr>
      </w:pPr>
      <w:r>
        <w:rPr>
          <w:rFonts w:hint="eastAsia" w:ascii="方正小标宋_GBK" w:hAnsi="Calibri" w:eastAsia="方正小标宋_GBK"/>
          <w:w w:val="120"/>
          <w:sz w:val="52"/>
          <w:szCs w:val="52"/>
        </w:rPr>
        <w:t>安徽省地方计量技术规范</w:t>
      </w:r>
    </w:p>
    <w:p w14:paraId="25FE66A7">
      <w:pPr>
        <w:spacing w:line="300" w:lineRule="exact"/>
        <w:jc w:val="center"/>
        <w:rPr>
          <w:rFonts w:ascii="方正小标宋_GBK" w:hAnsi="Calibri" w:eastAsia="方正小标宋_GBK"/>
          <w:sz w:val="24"/>
        </w:rPr>
      </w:pPr>
    </w:p>
    <w:p w14:paraId="63D75B9C">
      <w:pPr>
        <w:tabs>
          <w:tab w:val="left" w:pos="8190"/>
        </w:tabs>
        <w:spacing w:line="360" w:lineRule="auto"/>
        <w:ind w:right="880" w:firstLine="560"/>
        <w:jc w:val="right"/>
        <w:rPr>
          <w:rFonts w:hint="eastAsia" w:ascii="黑体" w:hAnsi="Calibri" w:eastAsia="黑体"/>
          <w:sz w:val="28"/>
          <w:szCs w:val="22"/>
          <w:lang w:eastAsia="zh-CN"/>
        </w:rPr>
      </w:pPr>
      <w:r>
        <w:rPr>
          <w:rFonts w:hint="eastAsia" w:ascii="黑体" w:hAnsi="Calibri" w:eastAsia="黑体"/>
          <w:sz w:val="28"/>
          <w:szCs w:val="22"/>
        </w:rPr>
        <w:t xml:space="preserve">                JJF（皖）</w:t>
      </w:r>
      <w:r>
        <w:rPr>
          <w:rFonts w:ascii="黑体" w:hAnsi="Calibri" w:eastAsia="黑体"/>
          <w:sz w:val="28"/>
          <w:szCs w:val="22"/>
        </w:rPr>
        <w:t>**</w:t>
      </w:r>
      <w:r>
        <w:rPr>
          <w:rFonts w:hint="eastAsia" w:ascii="黑体" w:hAnsi="Calibri" w:eastAsia="黑体"/>
          <w:sz w:val="28"/>
          <w:szCs w:val="22"/>
        </w:rPr>
        <w:t>—202</w:t>
      </w:r>
      <w:r>
        <w:rPr>
          <w:rFonts w:hint="eastAsia" w:ascii="黑体" w:hAnsi="Calibri" w:eastAsia="黑体"/>
          <w:sz w:val="28"/>
          <w:szCs w:val="22"/>
          <w:lang w:val="en-US" w:eastAsia="zh-CN"/>
        </w:rPr>
        <w:t>5</w:t>
      </w:r>
    </w:p>
    <w:p w14:paraId="5FE0F7CD">
      <w:pPr>
        <w:pStyle w:val="2"/>
        <w:ind w:firstLine="643"/>
        <w:rPr>
          <w:rFonts w:ascii="Calibri" w:hAnsi="Calibri"/>
          <w:sz w:val="18"/>
          <w:szCs w:val="18"/>
        </w:rPr>
      </w:pPr>
      <w:r>
        <mc:AlternateContent>
          <mc:Choice Requires="wps">
            <w:drawing>
              <wp:anchor distT="0" distB="0" distL="114300" distR="114300" simplePos="0" relativeHeight="251660288" behindDoc="0" locked="0" layoutInCell="1" allowOverlap="1">
                <wp:simplePos x="0" y="0"/>
                <wp:positionH relativeFrom="page">
                  <wp:posOffset>826770</wp:posOffset>
                </wp:positionH>
                <wp:positionV relativeFrom="page">
                  <wp:posOffset>3294380</wp:posOffset>
                </wp:positionV>
                <wp:extent cx="5939790" cy="0"/>
                <wp:effectExtent l="0" t="0" r="3810" b="0"/>
                <wp:wrapNone/>
                <wp:docPr id="5" name="Line 3"/>
                <wp:cNvGraphicFramePr/>
                <a:graphic xmlns:a="http://schemas.openxmlformats.org/drawingml/2006/main">
                  <a:graphicData uri="http://schemas.microsoft.com/office/word/2010/wordprocessingShape">
                    <wps:wsp>
                      <wps:cNvCnPr>
                        <a:cxnSpLocks noChangeShapeType="1"/>
                      </wps:cNvCnPr>
                      <wps:spPr bwMode="auto">
                        <a:xfrm>
                          <a:off x="0" y="0"/>
                          <a:ext cx="5939790" cy="0"/>
                        </a:xfrm>
                        <a:prstGeom prst="line">
                          <a:avLst/>
                        </a:prstGeom>
                        <a:noFill/>
                        <a:ln w="19050">
                          <a:solidFill>
                            <a:srgbClr val="000000"/>
                          </a:solidFill>
                          <a:round/>
                        </a:ln>
                      </wps:spPr>
                      <wps:bodyPr/>
                    </wps:wsp>
                  </a:graphicData>
                </a:graphic>
              </wp:anchor>
            </w:drawing>
          </mc:Choice>
          <mc:Fallback>
            <w:pict>
              <v:line id="Line 3" o:spid="_x0000_s1026" o:spt="20" style="position:absolute;left:0pt;margin-left:65.1pt;margin-top:259.4pt;height:0pt;width:467.7pt;mso-position-horizontal-relative:page;mso-position-vertical-relative:page;z-index:251660288;mso-width-relative:page;mso-height-relative:page;" filled="f" stroked="t" coordsize="21600,21600" o:gfxdata="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DUasDC1gAAAAwBAAAPAAAAAAAAAAEAIAAAACIAAABkcnMvZG93&#10;bnJldi54bWxQSwECFAAUAAAACACHTuJA+dgUiMkBAACgAwAADgAAAAAAAAABACAAAAAlAQAAZHJz&#10;L2Uyb0RvYy54bWxQSwUGAAAAAAYABgBZAQAAYAUAAAAA&#10;">
                <v:fill on="f" focussize="0,0"/>
                <v:stroke weight="1.5pt" color="#000000" joinstyle="round"/>
                <v:imagedata o:title=""/>
                <o:lock v:ext="edit" aspectratio="f"/>
              </v:line>
            </w:pict>
          </mc:Fallback>
        </mc:AlternateContent>
      </w:r>
    </w:p>
    <w:p w14:paraId="3F2E5BA6">
      <w:pPr>
        <w:pStyle w:val="2"/>
        <w:ind w:firstLine="643"/>
      </w:pPr>
    </w:p>
    <w:p w14:paraId="46831415">
      <w:pPr>
        <w:ind w:firstLine="1040"/>
        <w:rPr>
          <w:rFonts w:ascii="黑体" w:hAnsi="华文细黑" w:eastAsia="黑体"/>
          <w:kern w:val="0"/>
          <w:sz w:val="52"/>
          <w:szCs w:val="52"/>
        </w:rPr>
      </w:pPr>
      <w:r>
        <w:rPr>
          <w:rFonts w:hint="eastAsia" w:ascii="黑体" w:hAnsi="华文细黑" w:eastAsia="黑体"/>
          <w:kern w:val="0"/>
          <w:sz w:val="52"/>
          <w:szCs w:val="52"/>
        </w:rPr>
        <w:t xml:space="preserve">重点排放单位碳排放计量审查规范 </w:t>
      </w:r>
    </w:p>
    <w:p w14:paraId="30B626C7">
      <w:pPr>
        <w:pStyle w:val="17"/>
      </w:pPr>
      <w:r>
        <w:t xml:space="preserve">The Rules for the Examination of the Carbon Emission </w:t>
      </w:r>
    </w:p>
    <w:p w14:paraId="234E578E">
      <w:pPr>
        <w:pStyle w:val="17"/>
      </w:pPr>
      <w:r>
        <w:t>Measuring in Key Organizations of Carbon Emission</w:t>
      </w:r>
    </w:p>
    <w:p w14:paraId="3D0C4F90">
      <w:pPr>
        <w:pStyle w:val="10"/>
        <w:jc w:val="center"/>
      </w:pPr>
      <w:r>
        <w:rPr>
          <w:rFonts w:ascii="Times New Roman"/>
          <w:b/>
          <w:sz w:val="30"/>
        </w:rPr>
        <w:t>（</w:t>
      </w:r>
      <w:r>
        <w:rPr>
          <w:rFonts w:hint="eastAsia" w:ascii="Times New Roman"/>
          <w:b/>
          <w:sz w:val="30"/>
          <w:lang w:eastAsia="zh-CN"/>
        </w:rPr>
        <w:t>报批</w:t>
      </w:r>
      <w:r>
        <w:rPr>
          <w:rFonts w:ascii="Times New Roman"/>
          <w:b/>
          <w:sz w:val="30"/>
        </w:rPr>
        <w:t>稿）</w:t>
      </w:r>
    </w:p>
    <w:p w14:paraId="5876B63B">
      <w:pPr>
        <w:ind w:firstLine="422"/>
        <w:jc w:val="center"/>
        <w:rPr>
          <w:b/>
        </w:rPr>
      </w:pPr>
    </w:p>
    <w:p w14:paraId="767256CB">
      <w:pPr>
        <w:pStyle w:val="2"/>
        <w:ind w:firstLine="643"/>
      </w:pPr>
    </w:p>
    <w:p w14:paraId="58B28E4C">
      <w:pPr>
        <w:ind w:firstLine="220"/>
        <w:jc w:val="left"/>
        <w:rPr>
          <w:sz w:val="11"/>
          <w:szCs w:val="11"/>
        </w:rPr>
      </w:pPr>
    </w:p>
    <w:p w14:paraId="38BD810D">
      <w:pPr>
        <w:autoSpaceDE w:val="0"/>
        <w:autoSpaceDN w:val="0"/>
        <w:adjustRightInd w:val="0"/>
        <w:ind w:firstLine="420" w:firstLineChars="150"/>
        <w:rPr>
          <w:rFonts w:ascii="黑体" w:hAnsi="Calibri" w:eastAsia="黑体"/>
          <w:sz w:val="28"/>
          <w:szCs w:val="22"/>
        </w:rPr>
      </w:pPr>
    </w:p>
    <w:p w14:paraId="5C8AC126">
      <w:pPr>
        <w:pStyle w:val="10"/>
        <w:tabs>
          <w:tab w:val="left" w:pos="6428"/>
        </w:tabs>
        <w:kinsoku w:val="0"/>
        <w:overflowPunct w:val="0"/>
        <w:ind w:left="46" w:firstLine="700" w:firstLineChars="250"/>
        <w:rPr>
          <w:rFonts w:ascii="黑体" w:eastAsia="黑体" w:cs="黑体"/>
          <w:sz w:val="28"/>
          <w:szCs w:val="28"/>
        </w:rPr>
      </w:pPr>
    </w:p>
    <w:p w14:paraId="5A80FC27">
      <w:pPr>
        <w:pStyle w:val="10"/>
        <w:tabs>
          <w:tab w:val="left" w:pos="6428"/>
        </w:tabs>
        <w:kinsoku w:val="0"/>
        <w:overflowPunct w:val="0"/>
        <w:ind w:left="46" w:firstLine="525" w:firstLineChars="250"/>
        <w:rPr>
          <w:rFonts w:ascii="黑体" w:eastAsia="黑体" w:cs="黑体"/>
          <w:sz w:val="28"/>
          <w:szCs w:val="28"/>
        </w:rPr>
      </w:pPr>
      <w:r>
        <mc:AlternateContent>
          <mc:Choice Requires="wps">
            <w:drawing>
              <wp:anchor distT="0" distB="0" distL="0" distR="0" simplePos="0" relativeHeight="251662336" behindDoc="0" locked="0" layoutInCell="0" allowOverlap="1">
                <wp:simplePos x="0" y="0"/>
                <wp:positionH relativeFrom="page">
                  <wp:posOffset>758190</wp:posOffset>
                </wp:positionH>
                <wp:positionV relativeFrom="paragraph">
                  <wp:posOffset>395605</wp:posOffset>
                </wp:positionV>
                <wp:extent cx="5939790" cy="12700"/>
                <wp:effectExtent l="0" t="0" r="0" b="0"/>
                <wp:wrapTopAndBottom/>
                <wp:docPr id="11" name="任意多边形 11"/>
                <wp:cNvGraphicFramePr/>
                <a:graphic xmlns:a="http://schemas.openxmlformats.org/drawingml/2006/main">
                  <a:graphicData uri="http://schemas.microsoft.com/office/word/2010/wordprocessingShape">
                    <wps:wsp>
                      <wps:cNvSpPr/>
                      <wps:spPr bwMode="auto">
                        <a:xfrm>
                          <a:off x="0" y="0"/>
                          <a:ext cx="5939790" cy="12700"/>
                        </a:xfrm>
                        <a:custGeom>
                          <a:avLst/>
                          <a:gdLst>
                            <a:gd name="T0" fmla="*/ 0 w 9354"/>
                            <a:gd name="T1" fmla="*/ 0 h 20"/>
                            <a:gd name="T2" fmla="*/ 9354 w 9354"/>
                            <a:gd name="T3" fmla="*/ 0 h 20"/>
                          </a:gdLst>
                          <a:ahLst/>
                          <a:cxnLst>
                            <a:cxn ang="0">
                              <a:pos x="T0" y="T1"/>
                            </a:cxn>
                            <a:cxn ang="0">
                              <a:pos x="T2" y="T3"/>
                            </a:cxn>
                          </a:cxnLst>
                          <a:rect l="0" t="0" r="r" b="b"/>
                          <a:pathLst>
                            <a:path w="9354" h="20">
                              <a:moveTo>
                                <a:pt x="0" y="0"/>
                              </a:moveTo>
                              <a:lnTo>
                                <a:pt x="9354" y="0"/>
                              </a:lnTo>
                            </a:path>
                          </a:pathLst>
                        </a:custGeom>
                        <a:noFill/>
                        <a:ln w="19050">
                          <a:solidFill>
                            <a:srgbClr val="000000"/>
                          </a:solidFill>
                          <a:round/>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59.7pt;margin-top:31.15pt;height:1pt;width:467.7pt;mso-position-horizontal-relative:page;mso-wrap-distance-bottom:0pt;mso-wrap-distance-top:0pt;z-index:251662336;mso-width-relative:page;mso-height-relative:page;" filled="f" stroked="t" coordsize="9354,20" o:allowincell="f" o:gfxdata="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" path="m0,0l9354,0e">
                <v:path o:connectlocs="0,0;5939790,0" o:connectangles="0,0"/>
                <v:fill on="f" focussize="0,0"/>
                <v:stroke weight="1.5pt" color="#000000" joinstyle="round"/>
                <v:imagedata o:title=""/>
                <o:lock v:ext="edit" aspectratio="f"/>
                <w10:wrap type="topAndBottom"/>
              </v:shape>
            </w:pict>
          </mc:Fallback>
        </mc:AlternateContent>
      </w:r>
      <w:r>
        <w:rPr>
          <w:rFonts w:ascii="黑体" w:eastAsia="黑体" w:cs="黑体"/>
          <w:sz w:val="28"/>
          <w:szCs w:val="28"/>
        </w:rPr>
        <w:t>202</w:t>
      </w:r>
      <w:r>
        <w:rPr>
          <w:rFonts w:hint="eastAsia" w:ascii="黑体" w:eastAsia="黑体" w:cs="黑体"/>
          <w:sz w:val="28"/>
          <w:szCs w:val="28"/>
          <w:lang w:val="en-US" w:eastAsia="zh-CN"/>
        </w:rPr>
        <w:t>5</w:t>
      </w:r>
      <w:r>
        <w:rPr>
          <w:rFonts w:ascii="黑体" w:eastAsia="黑体" w:cs="黑体"/>
          <w:sz w:val="28"/>
          <w:szCs w:val="28"/>
        </w:rPr>
        <w:t>-**-**</w:t>
      </w:r>
      <w:r>
        <w:rPr>
          <w:rFonts w:ascii="黑体" w:eastAsia="黑体" w:cs="黑体"/>
          <w:spacing w:val="-72"/>
          <w:sz w:val="28"/>
          <w:szCs w:val="28"/>
        </w:rPr>
        <w:t xml:space="preserve"> </w:t>
      </w:r>
      <w:r>
        <w:rPr>
          <w:rFonts w:hint="eastAsia" w:ascii="黑体" w:eastAsia="黑体" w:cs="黑体"/>
          <w:sz w:val="28"/>
          <w:szCs w:val="28"/>
        </w:rPr>
        <w:t>发布</w:t>
      </w:r>
      <w:r>
        <w:rPr>
          <w:rFonts w:ascii="黑体" w:eastAsia="黑体" w:cs="黑体"/>
          <w:sz w:val="28"/>
          <w:szCs w:val="28"/>
        </w:rPr>
        <w:tab/>
      </w:r>
      <w:r>
        <w:rPr>
          <w:rFonts w:ascii="黑体" w:eastAsia="黑体" w:cs="黑体"/>
          <w:sz w:val="28"/>
          <w:szCs w:val="28"/>
        </w:rPr>
        <w:t>202</w:t>
      </w:r>
      <w:r>
        <w:rPr>
          <w:rFonts w:hint="eastAsia" w:ascii="黑体" w:eastAsia="黑体" w:cs="黑体"/>
          <w:sz w:val="28"/>
          <w:szCs w:val="28"/>
          <w:lang w:val="en-US" w:eastAsia="zh-CN"/>
        </w:rPr>
        <w:t>5</w:t>
      </w:r>
      <w:r>
        <w:rPr>
          <w:rFonts w:ascii="黑体" w:eastAsia="黑体" w:cs="黑体"/>
          <w:sz w:val="28"/>
          <w:szCs w:val="28"/>
        </w:rPr>
        <w:t>-**-**</w:t>
      </w:r>
      <w:r>
        <w:rPr>
          <w:rFonts w:ascii="黑体" w:eastAsia="黑体" w:cs="黑体"/>
          <w:spacing w:val="-71"/>
          <w:sz w:val="28"/>
          <w:szCs w:val="28"/>
        </w:rPr>
        <w:t xml:space="preserve"> </w:t>
      </w:r>
      <w:r>
        <w:rPr>
          <w:rFonts w:hint="eastAsia" w:ascii="黑体" w:eastAsia="黑体" w:cs="黑体"/>
          <w:sz w:val="28"/>
          <w:szCs w:val="28"/>
        </w:rPr>
        <w:t>实施</w:t>
      </w:r>
    </w:p>
    <w:p w14:paraId="69A4722D">
      <w:pPr>
        <w:tabs>
          <w:tab w:val="left" w:pos="722"/>
          <w:tab w:val="left" w:pos="1444"/>
          <w:tab w:val="left" w:pos="2167"/>
          <w:tab w:val="left" w:pos="2891"/>
          <w:tab w:val="left" w:pos="3614"/>
          <w:tab w:val="left" w:pos="4339"/>
          <w:tab w:val="left" w:pos="5061"/>
          <w:tab w:val="left" w:pos="5786"/>
          <w:tab w:val="left" w:pos="6508"/>
          <w:tab w:val="left" w:pos="7569"/>
        </w:tabs>
        <w:spacing w:before="36"/>
        <w:ind w:right="498"/>
        <w:jc w:val="center"/>
        <w:rPr>
          <w:rFonts w:ascii="黑体" w:eastAsia="黑体"/>
          <w:sz w:val="28"/>
          <w:lang w:eastAsia="zh-CN"/>
        </w:rPr>
      </w:pPr>
      <w:r>
        <w:rPr>
          <w:rFonts w:hint="eastAsia" w:ascii="方正小标宋简体" w:eastAsia="方正小标宋简体"/>
          <w:w w:val="110"/>
          <w:sz w:val="44"/>
          <w:lang w:eastAsia="zh-CN"/>
        </w:rPr>
        <w:t>安</w:t>
      </w:r>
      <w:r>
        <w:rPr>
          <w:rFonts w:hint="eastAsia" w:ascii="方正小标宋简体" w:eastAsia="方正小标宋简体"/>
          <w:w w:val="110"/>
          <w:sz w:val="44"/>
          <w:lang w:eastAsia="zh-CN"/>
        </w:rPr>
        <w:tab/>
      </w:r>
      <w:r>
        <w:rPr>
          <w:rFonts w:hint="eastAsia" w:ascii="方正小标宋简体" w:eastAsia="方正小标宋简体"/>
          <w:w w:val="110"/>
          <w:sz w:val="44"/>
          <w:lang w:eastAsia="zh-CN"/>
        </w:rPr>
        <w:t>徽</w:t>
      </w:r>
      <w:r>
        <w:rPr>
          <w:rFonts w:hint="eastAsia" w:ascii="方正小标宋简体" w:eastAsia="方正小标宋简体"/>
          <w:w w:val="110"/>
          <w:sz w:val="44"/>
          <w:lang w:eastAsia="zh-CN"/>
        </w:rPr>
        <w:tab/>
      </w:r>
      <w:r>
        <w:rPr>
          <w:rFonts w:hint="eastAsia" w:ascii="方正小标宋简体" w:eastAsia="方正小标宋简体"/>
          <w:w w:val="110"/>
          <w:sz w:val="44"/>
          <w:lang w:eastAsia="zh-CN"/>
        </w:rPr>
        <w:t>省</w:t>
      </w:r>
      <w:r>
        <w:rPr>
          <w:rFonts w:hint="eastAsia" w:ascii="方正小标宋简体" w:eastAsia="方正小标宋简体"/>
          <w:w w:val="110"/>
          <w:sz w:val="44"/>
          <w:lang w:eastAsia="zh-CN"/>
        </w:rPr>
        <w:tab/>
      </w:r>
      <w:r>
        <w:rPr>
          <w:rFonts w:hint="eastAsia" w:ascii="方正小标宋简体" w:eastAsia="方正小标宋简体"/>
          <w:w w:val="110"/>
          <w:sz w:val="44"/>
          <w:lang w:eastAsia="zh-CN"/>
        </w:rPr>
        <w:t>市</w:t>
      </w:r>
      <w:r>
        <w:rPr>
          <w:rFonts w:hint="eastAsia" w:ascii="方正小标宋简体" w:eastAsia="方正小标宋简体"/>
          <w:w w:val="110"/>
          <w:sz w:val="44"/>
          <w:lang w:eastAsia="zh-CN"/>
        </w:rPr>
        <w:tab/>
      </w:r>
      <w:r>
        <w:rPr>
          <w:rFonts w:hint="eastAsia" w:ascii="方正小标宋简体" w:eastAsia="方正小标宋简体"/>
          <w:w w:val="110"/>
          <w:sz w:val="44"/>
          <w:lang w:eastAsia="zh-CN"/>
        </w:rPr>
        <w:t>场</w:t>
      </w:r>
      <w:r>
        <w:rPr>
          <w:rFonts w:hint="eastAsia" w:ascii="方正小标宋简体" w:eastAsia="方正小标宋简体"/>
          <w:w w:val="110"/>
          <w:sz w:val="44"/>
          <w:lang w:eastAsia="zh-CN"/>
        </w:rPr>
        <w:tab/>
      </w:r>
      <w:r>
        <w:rPr>
          <w:rFonts w:hint="eastAsia" w:ascii="方正小标宋简体" w:eastAsia="方正小标宋简体"/>
          <w:w w:val="110"/>
          <w:sz w:val="44"/>
          <w:lang w:eastAsia="zh-CN"/>
        </w:rPr>
        <w:t>监</w:t>
      </w:r>
      <w:r>
        <w:rPr>
          <w:rFonts w:hint="eastAsia" w:ascii="方正小标宋简体" w:eastAsia="方正小标宋简体"/>
          <w:w w:val="110"/>
          <w:sz w:val="44"/>
          <w:lang w:eastAsia="zh-CN"/>
        </w:rPr>
        <w:tab/>
      </w:r>
      <w:r>
        <w:rPr>
          <w:rFonts w:hint="eastAsia" w:ascii="方正小标宋简体" w:eastAsia="方正小标宋简体"/>
          <w:w w:val="110"/>
          <w:sz w:val="44"/>
          <w:lang w:eastAsia="zh-CN"/>
        </w:rPr>
        <w:t>督</w:t>
      </w:r>
      <w:r>
        <w:rPr>
          <w:rFonts w:hint="eastAsia" w:ascii="方正小标宋简体" w:eastAsia="方正小标宋简体"/>
          <w:w w:val="110"/>
          <w:sz w:val="44"/>
          <w:lang w:eastAsia="zh-CN"/>
        </w:rPr>
        <w:tab/>
      </w:r>
      <w:r>
        <w:rPr>
          <w:rFonts w:hint="eastAsia" w:ascii="方正小标宋简体" w:eastAsia="方正小标宋简体"/>
          <w:w w:val="110"/>
          <w:sz w:val="44"/>
          <w:lang w:eastAsia="zh-CN"/>
        </w:rPr>
        <w:t>管</w:t>
      </w:r>
      <w:r>
        <w:rPr>
          <w:rFonts w:hint="eastAsia" w:ascii="方正小标宋简体" w:eastAsia="方正小标宋简体"/>
          <w:w w:val="110"/>
          <w:sz w:val="44"/>
          <w:lang w:eastAsia="zh-CN"/>
        </w:rPr>
        <w:tab/>
      </w:r>
      <w:r>
        <w:rPr>
          <w:rFonts w:hint="eastAsia" w:ascii="方正小标宋简体" w:eastAsia="方正小标宋简体"/>
          <w:w w:val="110"/>
          <w:sz w:val="44"/>
          <w:lang w:eastAsia="zh-CN"/>
        </w:rPr>
        <w:t>理</w:t>
      </w:r>
      <w:r>
        <w:rPr>
          <w:rFonts w:hint="eastAsia" w:ascii="方正小标宋简体" w:eastAsia="方正小标宋简体"/>
          <w:w w:val="110"/>
          <w:sz w:val="44"/>
          <w:lang w:eastAsia="zh-CN"/>
        </w:rPr>
        <w:tab/>
      </w:r>
      <w:r>
        <w:rPr>
          <w:rFonts w:hint="eastAsia" w:ascii="方正小标宋简体" w:eastAsia="方正小标宋简体"/>
          <w:w w:val="110"/>
          <w:sz w:val="44"/>
          <w:lang w:eastAsia="zh-CN"/>
        </w:rPr>
        <w:t xml:space="preserve">局  </w:t>
      </w:r>
      <w:r>
        <w:rPr>
          <w:rFonts w:hint="eastAsia" w:ascii="方正小标宋简体" w:eastAsia="方正小标宋简体"/>
          <w:w w:val="110"/>
          <w:sz w:val="44"/>
          <w:lang w:eastAsia="zh-CN"/>
        </w:rPr>
        <w:tab/>
      </w:r>
      <w:r>
        <w:rPr>
          <w:rFonts w:hint="eastAsia" w:ascii="黑体" w:eastAsia="黑体"/>
          <w:w w:val="110"/>
          <w:sz w:val="28"/>
          <w:lang w:eastAsia="zh-CN"/>
        </w:rPr>
        <w:t xml:space="preserve">发  </w:t>
      </w:r>
      <w:r>
        <w:rPr>
          <w:rFonts w:hint="eastAsia" w:ascii="黑体" w:eastAsia="黑体"/>
          <w:spacing w:val="-69"/>
          <w:w w:val="110"/>
          <w:sz w:val="28"/>
          <w:lang w:eastAsia="zh-CN"/>
        </w:rPr>
        <w:t xml:space="preserve">  </w:t>
      </w:r>
      <w:r>
        <w:rPr>
          <w:rFonts w:hint="eastAsia" w:ascii="黑体" w:eastAsia="黑体"/>
          <w:w w:val="110"/>
          <w:sz w:val="28"/>
          <w:lang w:eastAsia="zh-CN"/>
        </w:rPr>
        <w:t>布</w:t>
      </w:r>
    </w:p>
    <w:p w14:paraId="421863FB">
      <w:pPr>
        <w:pBdr>
          <w:bottom w:val="single" w:color="auto" w:sz="6" w:space="1"/>
        </w:pBdr>
        <w:jc w:val="both"/>
        <w:sectPr>
          <w:headerReference r:id="rId3" w:type="default"/>
          <w:pgSz w:w="11906" w:h="16838"/>
          <w:pgMar w:top="1440" w:right="1134" w:bottom="1440" w:left="1134" w:header="851" w:footer="992" w:gutter="0"/>
          <w:pgNumType w:fmt="upperRoman" w:start="1"/>
          <w:cols w:space="720" w:num="1"/>
          <w:docGrid w:type="linesAndChars" w:linePitch="312" w:charSpace="0"/>
        </w:sectPr>
      </w:pPr>
      <w:bookmarkStart w:id="111" w:name="_GoBack"/>
      <w:bookmarkEnd w:id="111"/>
    </w:p>
    <w:p w14:paraId="65FCBA96">
      <w:pPr>
        <w:ind w:firstLine="560"/>
        <w:jc w:val="center"/>
        <w:rPr>
          <w:rFonts w:ascii="黑体" w:hAnsi="华文细黑" w:eastAsia="黑体"/>
          <w:sz w:val="48"/>
          <w:szCs w:val="48"/>
        </w:rPr>
      </w:pPr>
      <w:r>
        <w:rPr>
          <w:sz w:val="28"/>
          <w:szCs w:val="28"/>
        </w:rPr>
        <mc:AlternateContent>
          <mc:Choice Requires="wps">
            <w:drawing>
              <wp:anchor distT="0" distB="0" distL="114300" distR="114300" simplePos="0" relativeHeight="251659264" behindDoc="0" locked="0" layoutInCell="1" allowOverlap="1">
                <wp:simplePos x="0" y="0"/>
                <wp:positionH relativeFrom="column">
                  <wp:posOffset>-80010</wp:posOffset>
                </wp:positionH>
                <wp:positionV relativeFrom="paragraph">
                  <wp:posOffset>243840</wp:posOffset>
                </wp:positionV>
                <wp:extent cx="3870960" cy="2133600"/>
                <wp:effectExtent l="0" t="0" r="0" b="0"/>
                <wp:wrapNone/>
                <wp:docPr id="4" name="Text Box 2"/>
                <wp:cNvGraphicFramePr/>
                <a:graphic xmlns:a="http://schemas.openxmlformats.org/drawingml/2006/main">
                  <a:graphicData uri="http://schemas.microsoft.com/office/word/2010/wordprocessingShape">
                    <wps:wsp>
                      <wps:cNvSpPr txBox="1">
                        <a:spLocks noChangeArrowheads="1"/>
                      </wps:cNvSpPr>
                      <wps:spPr bwMode="auto">
                        <a:xfrm>
                          <a:off x="0" y="0"/>
                          <a:ext cx="3870960" cy="2133600"/>
                        </a:xfrm>
                        <a:prstGeom prst="rect">
                          <a:avLst/>
                        </a:prstGeom>
                        <a:noFill/>
                        <a:ln>
                          <a:noFill/>
                        </a:ln>
                      </wps:spPr>
                      <wps:txbx>
                        <w:txbxContent>
                          <w:p w14:paraId="20C04B95">
                            <w:pPr>
                              <w:pStyle w:val="17"/>
                              <w:ind w:firstLine="216"/>
                              <w:rPr>
                                <w:sz w:val="44"/>
                                <w:szCs w:val="44"/>
                              </w:rPr>
                            </w:pPr>
                            <w:r>
                              <w:rPr>
                                <w:rFonts w:hint="eastAsia"/>
                                <w:sz w:val="44"/>
                                <w:szCs w:val="44"/>
                              </w:rPr>
                              <w:t>重点排放单位碳排放计量</w:t>
                            </w:r>
                          </w:p>
                          <w:p w14:paraId="3BEADAAB">
                            <w:pPr>
                              <w:pStyle w:val="17"/>
                              <w:ind w:firstLine="216"/>
                              <w:rPr>
                                <w:sz w:val="44"/>
                                <w:szCs w:val="44"/>
                              </w:rPr>
                            </w:pPr>
                            <w:r>
                              <w:rPr>
                                <w:rFonts w:hint="eastAsia"/>
                                <w:sz w:val="44"/>
                                <w:szCs w:val="44"/>
                              </w:rPr>
                              <w:t>审查规范</w:t>
                            </w:r>
                          </w:p>
                          <w:p w14:paraId="6BF2AE12">
                            <w:pPr>
                              <w:pStyle w:val="17"/>
                            </w:pPr>
                            <w:r>
                              <w:t>The Rules for the Examination of the Carbon Emission Measuring in Key Organizations of Carbon Emission</w:t>
                            </w:r>
                          </w:p>
                        </w:txbxContent>
                      </wps:txbx>
                      <wps:bodyPr rot="0" vert="horz" wrap="square" lIns="91440" tIns="45720" rIns="91440" bIns="45720" anchor="t" anchorCtr="0" upright="1">
                        <a:noAutofit/>
                      </wps:bodyPr>
                    </wps:wsp>
                  </a:graphicData>
                </a:graphic>
              </wp:anchor>
            </w:drawing>
          </mc:Choice>
          <mc:Fallback>
            <w:pict>
              <v:shape id="Text Box 2" o:spid="_x0000_s1026" o:spt="202" type="#_x0000_t202" style="position:absolute;left:0pt;margin-left:-6.3pt;margin-top:19.2pt;height:168pt;width:304.8pt;z-index:251659264;mso-width-relative:page;mso-height-relative:page;" filled="f" stroked="f" coordsize="21600,21600" o:gfxdata="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GfpkgHYAAAACgEAAA8AAAAAAAAAAQAgAAAAIgAA&#10;AGRycy9kb3ducmV2LnhtbFBLAQIUABQAAAAIAIdO4kBaOfQoCAIAABUEAAAOAAAAAAAAAAEAIAAA&#10;ACcBAABkcnMvZTJvRG9jLnhtbFBLBQYAAAAABgAGAFkBAAChBQAAAAA=&#10;">
                <v:fill on="f" focussize="0,0"/>
                <v:stroke on="f"/>
                <v:imagedata o:title=""/>
                <o:lock v:ext="edit" aspectratio="f"/>
                <v:textbox>
                  <w:txbxContent>
                    <w:p w14:paraId="20C04B95">
                      <w:pPr>
                        <w:pStyle w:val="17"/>
                        <w:ind w:firstLine="216"/>
                        <w:rPr>
                          <w:sz w:val="44"/>
                          <w:szCs w:val="44"/>
                        </w:rPr>
                      </w:pPr>
                      <w:r>
                        <w:rPr>
                          <w:rFonts w:hint="eastAsia"/>
                          <w:sz w:val="44"/>
                          <w:szCs w:val="44"/>
                        </w:rPr>
                        <w:t>重点排放单位碳排放计量</w:t>
                      </w:r>
                    </w:p>
                    <w:p w14:paraId="3BEADAAB">
                      <w:pPr>
                        <w:pStyle w:val="17"/>
                        <w:ind w:firstLine="216"/>
                        <w:rPr>
                          <w:sz w:val="44"/>
                          <w:szCs w:val="44"/>
                        </w:rPr>
                      </w:pPr>
                      <w:r>
                        <w:rPr>
                          <w:rFonts w:hint="eastAsia"/>
                          <w:sz w:val="44"/>
                          <w:szCs w:val="44"/>
                        </w:rPr>
                        <w:t>审查规范</w:t>
                      </w:r>
                    </w:p>
                    <w:p w14:paraId="6BF2AE12">
                      <w:pPr>
                        <w:pStyle w:val="17"/>
                      </w:pPr>
                      <w:r>
                        <w:t>The Rules for the Examination of the Carbon Emission Measuring in Key Organizations of Carbon Emission</w:t>
                      </w:r>
                    </w:p>
                  </w:txbxContent>
                </v:textbox>
              </v:shape>
            </w:pict>
          </mc:Fallback>
        </mc:AlternateContent>
      </w:r>
      <w:r>
        <w:rPr>
          <w:sz w:val="28"/>
          <w:szCs w:val="28"/>
        </w:rPr>
        <mc:AlternateContent>
          <mc:Choice Requires="wpg">
            <w:drawing>
              <wp:anchor distT="0" distB="0" distL="114300" distR="114300" simplePos="0" relativeHeight="251661312" behindDoc="0" locked="0" layoutInCell="0" allowOverlap="1">
                <wp:simplePos x="0" y="0"/>
                <wp:positionH relativeFrom="page">
                  <wp:posOffset>4648200</wp:posOffset>
                </wp:positionH>
                <wp:positionV relativeFrom="paragraph">
                  <wp:posOffset>396240</wp:posOffset>
                </wp:positionV>
                <wp:extent cx="1625600" cy="1082040"/>
                <wp:effectExtent l="0" t="0" r="12700" b="3810"/>
                <wp:wrapNone/>
                <wp:docPr id="7" name="组合 7"/>
                <wp:cNvGraphicFramePr/>
                <a:graphic xmlns:a="http://schemas.openxmlformats.org/drawingml/2006/main">
                  <a:graphicData uri="http://schemas.microsoft.com/office/word/2010/wordprocessingGroup">
                    <wpg:wgp>
                      <wpg:cNvGrpSpPr/>
                      <wpg:grpSpPr>
                        <a:xfrm>
                          <a:off x="0" y="0"/>
                          <a:ext cx="1625600" cy="1082040"/>
                          <a:chOff x="7498" y="165"/>
                          <a:chExt cx="2560" cy="1704"/>
                        </a:xfrm>
                      </wpg:grpSpPr>
                      <pic:pic xmlns:pic="http://schemas.openxmlformats.org/drawingml/2006/picture">
                        <pic:nvPicPr>
                          <pic:cNvPr id="9"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7498" y="609"/>
                            <a:ext cx="2560" cy="1260"/>
                          </a:xfrm>
                          <a:prstGeom prst="rect">
                            <a:avLst/>
                          </a:prstGeom>
                          <a:noFill/>
                          <a:ln>
                            <a:noFill/>
                          </a:ln>
                        </pic:spPr>
                      </pic:pic>
                      <wps:wsp>
                        <wps:cNvPr id="10" name="Text Box 4"/>
                        <wps:cNvSpPr txBox="1">
                          <a:spLocks noChangeArrowheads="1"/>
                        </wps:cNvSpPr>
                        <wps:spPr bwMode="auto">
                          <a:xfrm>
                            <a:off x="7498" y="165"/>
                            <a:ext cx="2552" cy="1536"/>
                          </a:xfrm>
                          <a:prstGeom prst="rect">
                            <a:avLst/>
                          </a:prstGeom>
                          <a:noFill/>
                          <a:ln>
                            <a:noFill/>
                          </a:ln>
                        </wps:spPr>
                        <wps:txbx>
                          <w:txbxContent>
                            <w:p w14:paraId="7D6D4164">
                              <w:pPr>
                                <w:pStyle w:val="10"/>
                                <w:kinsoku w:val="0"/>
                                <w:overflowPunct w:val="0"/>
                                <w:spacing w:before="7"/>
                                <w:rPr>
                                  <w:sz w:val="37"/>
                                  <w:szCs w:val="37"/>
                                </w:rPr>
                              </w:pPr>
                            </w:p>
                            <w:p w14:paraId="6879B36C">
                              <w:pPr>
                                <w:pStyle w:val="10"/>
                                <w:kinsoku w:val="0"/>
                                <w:overflowPunct w:val="0"/>
                                <w:ind w:left="227"/>
                                <w:rPr>
                                  <w:rFonts w:hint="eastAsia" w:ascii="黑体" w:eastAsia="黑体" w:cs="黑体"/>
                                  <w:sz w:val="28"/>
                                  <w:szCs w:val="28"/>
                                  <w:lang w:eastAsia="zh-CN"/>
                                </w:rPr>
                              </w:pPr>
                              <w:r>
                                <w:rPr>
                                  <w:rFonts w:ascii="黑体" w:eastAsia="黑体" w:cs="黑体"/>
                                  <w:sz w:val="28"/>
                                  <w:szCs w:val="28"/>
                                </w:rPr>
                                <w:t>JJF(</w:t>
                              </w:r>
                              <w:r>
                                <w:rPr>
                                  <w:rFonts w:hint="eastAsia" w:ascii="黑体" w:eastAsia="黑体" w:cs="黑体"/>
                                  <w:sz w:val="28"/>
                                  <w:szCs w:val="28"/>
                                </w:rPr>
                                <w:t>皖</w:t>
                              </w:r>
                              <w:r>
                                <w:rPr>
                                  <w:rFonts w:ascii="黑体" w:eastAsia="黑体" w:cs="黑体"/>
                                  <w:sz w:val="28"/>
                                  <w:szCs w:val="28"/>
                                </w:rPr>
                                <w:t>)**-202</w:t>
                              </w:r>
                              <w:r>
                                <w:rPr>
                                  <w:rFonts w:hint="eastAsia" w:ascii="黑体" w:eastAsia="黑体" w:cs="黑体"/>
                                  <w:sz w:val="28"/>
                                  <w:szCs w:val="28"/>
                                  <w:lang w:val="en-US" w:eastAsia="zh-CN"/>
                                </w:rPr>
                                <w:t>5</w:t>
                              </w:r>
                            </w:p>
                            <w:p w14:paraId="7C6E43B0">
                              <w:pPr>
                                <w:pStyle w:val="10"/>
                                <w:kinsoku w:val="0"/>
                                <w:overflowPunct w:val="0"/>
                                <w:ind w:left="227"/>
                                <w:rPr>
                                  <w:rFonts w:ascii="黑体" w:eastAsia="黑体" w:cs="黑体"/>
                                  <w:sz w:val="28"/>
                                  <w:szCs w:val="28"/>
                                </w:rPr>
                              </w:pPr>
                            </w:p>
                            <w:p w14:paraId="68256048">
                              <w:pPr>
                                <w:pStyle w:val="10"/>
                                <w:kinsoku w:val="0"/>
                                <w:overflowPunct w:val="0"/>
                                <w:ind w:left="227"/>
                                <w:rPr>
                                  <w:rFonts w:ascii="黑体" w:eastAsia="黑体" w:cs="黑体"/>
                                  <w:sz w:val="28"/>
                                  <w:szCs w:val="28"/>
                                </w:rPr>
                              </w:pPr>
                            </w:p>
                            <w:p w14:paraId="7A446071">
                              <w:pPr>
                                <w:pStyle w:val="10"/>
                                <w:kinsoku w:val="0"/>
                                <w:overflowPunct w:val="0"/>
                                <w:ind w:left="227"/>
                                <w:rPr>
                                  <w:rFonts w:ascii="黑体" w:eastAsia="黑体" w:cs="黑体"/>
                                  <w:sz w:val="28"/>
                                  <w:szCs w:val="28"/>
                                </w:rPr>
                              </w:pPr>
                            </w:p>
                          </w:txbxContent>
                        </wps:txbx>
                        <wps:bodyPr rot="0" vert="horz" wrap="square" lIns="0" tIns="0" rIns="0" bIns="0" anchor="t" anchorCtr="0" upright="1">
                          <a:noAutofit/>
                        </wps:bodyPr>
                      </wps:wsp>
                    </wpg:wgp>
                  </a:graphicData>
                </a:graphic>
              </wp:anchor>
            </w:drawing>
          </mc:Choice>
          <mc:Fallback>
            <w:pict>
              <v:group id="_x0000_s1026" o:spid="_x0000_s1026" o:spt="203" style="position:absolute;left:0pt;margin-left:366pt;margin-top:31.2pt;height:85.2pt;width:128pt;mso-position-horizontal-relative:page;z-index:251661312;mso-width-relative:page;mso-height-relative:page;" coordorigin="7498,165" coordsize="2560,1704" o:allowincell="f" o:gfxdata="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">
                <o:lock v:ext="edit" aspectratio="f"/>
                <v:shape id="Picture 3" o:spid="_x0000_s1026" o:spt="75" type="#_x0000_t75" style="position:absolute;left:7498;top:609;height:1260;width:2560;" filled="f" o:preferrelative="t" stroked="f" coordsize="21600,21600" o:gfxdata="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nq7Zu8AAAA&#10;2gAAAA8AAAAAAAAAAQAgAAAAIgAAAGRycy9kb3ducmV2LnhtbFBLAQIUABQAAAAIAIdO4kAzLwWe&#10;OwAAADkAAAAQAAAAAAAAAAEAIAAAAAsBAABkcnMvc2hhcGV4bWwueG1sUEsFBgAAAAAGAAYAWwEA&#10;ALUDAAAAAA==&#10;">
                  <v:fill on="f" focussize="0,0"/>
                  <v:stroke on="f"/>
                  <v:imagedata r:id="rId11" o:title=""/>
                  <o:lock v:ext="edit" aspectratio="t"/>
                </v:shape>
                <v:shape id="Text Box 4" o:spid="_x0000_s1026" o:spt="202" type="#_x0000_t202" style="position:absolute;left:7498;top:165;height:1536;width:2552;" filled="f" stroked="f" coordsize="21600,21600" o:gfxdata="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grxuL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14:paraId="7D6D4164">
                        <w:pPr>
                          <w:pStyle w:val="10"/>
                          <w:kinsoku w:val="0"/>
                          <w:overflowPunct w:val="0"/>
                          <w:spacing w:before="7"/>
                          <w:rPr>
                            <w:sz w:val="37"/>
                            <w:szCs w:val="37"/>
                          </w:rPr>
                        </w:pPr>
                      </w:p>
                      <w:p w14:paraId="6879B36C">
                        <w:pPr>
                          <w:pStyle w:val="10"/>
                          <w:kinsoku w:val="0"/>
                          <w:overflowPunct w:val="0"/>
                          <w:ind w:left="227"/>
                          <w:rPr>
                            <w:rFonts w:hint="eastAsia" w:ascii="黑体" w:eastAsia="黑体" w:cs="黑体"/>
                            <w:sz w:val="28"/>
                            <w:szCs w:val="28"/>
                            <w:lang w:eastAsia="zh-CN"/>
                          </w:rPr>
                        </w:pPr>
                        <w:r>
                          <w:rPr>
                            <w:rFonts w:ascii="黑体" w:eastAsia="黑体" w:cs="黑体"/>
                            <w:sz w:val="28"/>
                            <w:szCs w:val="28"/>
                          </w:rPr>
                          <w:t>JJF(</w:t>
                        </w:r>
                        <w:r>
                          <w:rPr>
                            <w:rFonts w:hint="eastAsia" w:ascii="黑体" w:eastAsia="黑体" w:cs="黑体"/>
                            <w:sz w:val="28"/>
                            <w:szCs w:val="28"/>
                          </w:rPr>
                          <w:t>皖</w:t>
                        </w:r>
                        <w:r>
                          <w:rPr>
                            <w:rFonts w:ascii="黑体" w:eastAsia="黑体" w:cs="黑体"/>
                            <w:sz w:val="28"/>
                            <w:szCs w:val="28"/>
                          </w:rPr>
                          <w:t>)**-202</w:t>
                        </w:r>
                        <w:r>
                          <w:rPr>
                            <w:rFonts w:hint="eastAsia" w:ascii="黑体" w:eastAsia="黑体" w:cs="黑体"/>
                            <w:sz w:val="28"/>
                            <w:szCs w:val="28"/>
                            <w:lang w:val="en-US" w:eastAsia="zh-CN"/>
                          </w:rPr>
                          <w:t>5</w:t>
                        </w:r>
                      </w:p>
                      <w:p w14:paraId="7C6E43B0">
                        <w:pPr>
                          <w:pStyle w:val="10"/>
                          <w:kinsoku w:val="0"/>
                          <w:overflowPunct w:val="0"/>
                          <w:ind w:left="227"/>
                          <w:rPr>
                            <w:rFonts w:ascii="黑体" w:eastAsia="黑体" w:cs="黑体"/>
                            <w:sz w:val="28"/>
                            <w:szCs w:val="28"/>
                          </w:rPr>
                        </w:pPr>
                      </w:p>
                      <w:p w14:paraId="68256048">
                        <w:pPr>
                          <w:pStyle w:val="10"/>
                          <w:kinsoku w:val="0"/>
                          <w:overflowPunct w:val="0"/>
                          <w:ind w:left="227"/>
                          <w:rPr>
                            <w:rFonts w:ascii="黑体" w:eastAsia="黑体" w:cs="黑体"/>
                            <w:sz w:val="28"/>
                            <w:szCs w:val="28"/>
                          </w:rPr>
                        </w:pPr>
                      </w:p>
                      <w:p w14:paraId="7A446071">
                        <w:pPr>
                          <w:pStyle w:val="10"/>
                          <w:kinsoku w:val="0"/>
                          <w:overflowPunct w:val="0"/>
                          <w:ind w:left="227"/>
                          <w:rPr>
                            <w:rFonts w:ascii="黑体" w:eastAsia="黑体" w:cs="黑体"/>
                            <w:sz w:val="28"/>
                            <w:szCs w:val="28"/>
                          </w:rPr>
                        </w:pPr>
                      </w:p>
                    </w:txbxContent>
                  </v:textbox>
                </v:shape>
              </v:group>
            </w:pict>
          </mc:Fallback>
        </mc:AlternateContent>
      </w:r>
    </w:p>
    <w:p w14:paraId="110746FF">
      <w:pPr>
        <w:ind w:firstLine="717" w:firstLineChars="163"/>
        <w:rPr>
          <w:rFonts w:ascii="黑体" w:hAnsi="华文细黑" w:eastAsia="黑体"/>
          <w:sz w:val="44"/>
          <w:szCs w:val="44"/>
        </w:rPr>
      </w:pPr>
    </w:p>
    <w:p w14:paraId="107FFBD0">
      <w:pPr>
        <w:ind w:firstLine="1120" w:firstLineChars="400"/>
        <w:rPr>
          <w:sz w:val="28"/>
          <w:szCs w:val="28"/>
        </w:rPr>
      </w:pPr>
    </w:p>
    <w:p w14:paraId="7820EFDF">
      <w:pPr>
        <w:ind w:firstLine="980" w:firstLineChars="350"/>
        <w:rPr>
          <w:sz w:val="28"/>
          <w:szCs w:val="28"/>
        </w:rPr>
      </w:pPr>
    </w:p>
    <w:p w14:paraId="314B5E94">
      <w:pPr>
        <w:pBdr>
          <w:bottom w:val="single" w:color="auto" w:sz="6" w:space="31"/>
        </w:pBdr>
        <w:ind w:firstLine="560"/>
        <w:jc w:val="center"/>
        <w:rPr>
          <w:sz w:val="28"/>
          <w:szCs w:val="28"/>
        </w:rPr>
      </w:pPr>
    </w:p>
    <w:p w14:paraId="38BE62AA">
      <w:pPr>
        <w:ind w:firstLine="560" w:firstLineChars="200"/>
        <w:rPr>
          <w:rFonts w:ascii="黑体" w:eastAsia="黑体" w:cs="黑体"/>
          <w:color w:val="FF0000"/>
          <w:kern w:val="0"/>
          <w:sz w:val="28"/>
          <w:szCs w:val="28"/>
        </w:rPr>
      </w:pPr>
    </w:p>
    <w:p w14:paraId="45E87EE1">
      <w:pPr>
        <w:ind w:firstLine="560" w:firstLineChars="200"/>
        <w:rPr>
          <w:sz w:val="28"/>
          <w:szCs w:val="28"/>
        </w:rPr>
      </w:pPr>
    </w:p>
    <w:p w14:paraId="6689CAEF">
      <w:pPr>
        <w:pStyle w:val="2"/>
        <w:ind w:firstLine="643"/>
      </w:pPr>
    </w:p>
    <w:p w14:paraId="6AF9F327">
      <w:pPr>
        <w:ind w:firstLine="560" w:firstLineChars="200"/>
        <w:rPr>
          <w:sz w:val="28"/>
          <w:szCs w:val="28"/>
        </w:rPr>
      </w:pPr>
    </w:p>
    <w:p w14:paraId="05721D2F">
      <w:pPr>
        <w:ind w:firstLine="560" w:firstLineChars="200"/>
        <w:rPr>
          <w:sz w:val="28"/>
          <w:szCs w:val="28"/>
        </w:rPr>
      </w:pPr>
    </w:p>
    <w:p w14:paraId="4D475838">
      <w:pPr>
        <w:ind w:firstLine="562"/>
        <w:jc w:val="center"/>
        <w:rPr>
          <w:sz w:val="28"/>
          <w:szCs w:val="28"/>
        </w:rPr>
      </w:pPr>
      <w:r>
        <w:rPr>
          <w:rFonts w:hint="eastAsia" w:ascii="黑体" w:eastAsia="黑体"/>
          <w:b/>
          <w:sz w:val="28"/>
          <w:szCs w:val="28"/>
        </w:rPr>
        <w:t xml:space="preserve"> </w:t>
      </w:r>
      <w:r>
        <w:rPr>
          <w:rFonts w:hint="eastAsia" w:ascii="黑体" w:eastAsia="黑体"/>
          <w:b/>
          <w:sz w:val="28"/>
          <w:szCs w:val="28"/>
          <w:lang w:val="en-US" w:eastAsia="zh-CN"/>
        </w:rPr>
        <w:t xml:space="preserve"> </w:t>
      </w:r>
      <w:r>
        <w:rPr>
          <w:rFonts w:ascii="黑体" w:hAnsi="黑体" w:eastAsia="黑体"/>
          <w:spacing w:val="93"/>
          <w:kern w:val="0"/>
          <w:sz w:val="28"/>
        </w:rPr>
        <w:t>归口单</w:t>
      </w:r>
      <w:r>
        <w:rPr>
          <w:rFonts w:ascii="黑体" w:hAnsi="黑体" w:eastAsia="黑体"/>
          <w:spacing w:val="2"/>
          <w:kern w:val="0"/>
          <w:sz w:val="28"/>
        </w:rPr>
        <w:t>位</w:t>
      </w:r>
      <w:r>
        <w:rPr>
          <w:rFonts w:ascii="黑体" w:hAnsi="黑体" w:eastAsia="黑体"/>
          <w:sz w:val="28"/>
        </w:rPr>
        <w:t>：</w:t>
      </w:r>
      <w:r>
        <w:rPr>
          <w:rFonts w:hint="eastAsia"/>
          <w:sz w:val="28"/>
          <w:szCs w:val="28"/>
        </w:rPr>
        <w:t>安徽省碳达峰</w:t>
      </w:r>
      <w:r>
        <w:rPr>
          <w:sz w:val="28"/>
          <w:szCs w:val="28"/>
        </w:rPr>
        <w:t>碳中和计量技术委员会</w:t>
      </w:r>
    </w:p>
    <w:p w14:paraId="42832332">
      <w:pPr>
        <w:ind w:firstLine="1960" w:firstLineChars="700"/>
        <w:rPr>
          <w:rFonts w:ascii="宋体" w:hAnsi="宋体"/>
          <w:sz w:val="28"/>
        </w:rPr>
      </w:pPr>
      <w:r>
        <w:rPr>
          <w:rFonts w:ascii="黑体" w:hAnsi="黑体" w:eastAsia="黑体"/>
          <w:sz w:val="28"/>
        </w:rPr>
        <w:t>主要起草单位：</w:t>
      </w:r>
      <w:r>
        <w:rPr>
          <w:rFonts w:hint="eastAsia" w:ascii="宋体" w:hAnsi="宋体"/>
          <w:sz w:val="28"/>
        </w:rPr>
        <w:t>宣城市标准</w:t>
      </w:r>
      <w:r>
        <w:rPr>
          <w:rFonts w:ascii="宋体" w:hAnsi="宋体"/>
          <w:sz w:val="28"/>
        </w:rPr>
        <w:t>计量所</w:t>
      </w:r>
    </w:p>
    <w:p w14:paraId="44B62569">
      <w:pPr>
        <w:ind w:firstLine="3920" w:firstLineChars="1400"/>
        <w:rPr>
          <w:rFonts w:ascii="宋体" w:hAnsi="宋体"/>
          <w:sz w:val="28"/>
        </w:rPr>
      </w:pPr>
      <w:r>
        <w:rPr>
          <w:rFonts w:hint="eastAsia" w:ascii="宋体" w:hAnsi="宋体"/>
          <w:sz w:val="28"/>
        </w:rPr>
        <w:t>安徽</w:t>
      </w:r>
      <w:r>
        <w:rPr>
          <w:rFonts w:ascii="宋体" w:hAnsi="宋体"/>
          <w:sz w:val="28"/>
        </w:rPr>
        <w:t>省计量科学研究院</w:t>
      </w:r>
    </w:p>
    <w:p w14:paraId="65D26778">
      <w:pPr>
        <w:ind w:firstLine="3920" w:firstLineChars="1400"/>
        <w:rPr>
          <w:rFonts w:ascii="宋体" w:hAnsi="宋体"/>
          <w:sz w:val="28"/>
        </w:rPr>
      </w:pPr>
      <w:r>
        <w:rPr>
          <w:rFonts w:hint="eastAsia" w:ascii="宋体" w:hAnsi="宋体"/>
          <w:sz w:val="28"/>
        </w:rPr>
        <w:t>宣州区</w:t>
      </w:r>
      <w:r>
        <w:rPr>
          <w:rFonts w:ascii="宋体" w:hAnsi="宋体"/>
          <w:sz w:val="28"/>
        </w:rPr>
        <w:t>市场监督管理局</w:t>
      </w:r>
    </w:p>
    <w:p w14:paraId="73FF66E4">
      <w:pPr>
        <w:ind w:firstLine="420"/>
      </w:pPr>
    </w:p>
    <w:p w14:paraId="5B95FE97">
      <w:pPr>
        <w:ind w:firstLine="1120" w:firstLineChars="400"/>
        <w:rPr>
          <w:sz w:val="28"/>
          <w:szCs w:val="28"/>
        </w:rPr>
      </w:pPr>
    </w:p>
    <w:p w14:paraId="2B9DA6CC">
      <w:pPr>
        <w:pStyle w:val="2"/>
        <w:ind w:firstLine="643"/>
      </w:pPr>
    </w:p>
    <w:p w14:paraId="7C279C6D">
      <w:pPr>
        <w:pStyle w:val="2"/>
        <w:ind w:firstLine="643"/>
      </w:pPr>
    </w:p>
    <w:p w14:paraId="4413694E">
      <w:pPr>
        <w:ind w:firstLine="1120" w:firstLineChars="400"/>
        <w:rPr>
          <w:sz w:val="28"/>
          <w:szCs w:val="28"/>
        </w:rPr>
        <w:sectPr>
          <w:headerReference r:id="rId4" w:type="default"/>
          <w:pgSz w:w="11906" w:h="16838"/>
          <w:pgMar w:top="1440" w:right="1134" w:bottom="1440" w:left="1134" w:header="851" w:footer="992" w:gutter="0"/>
          <w:pgNumType w:fmt="upperRoman" w:start="1"/>
          <w:cols w:space="720" w:num="1"/>
          <w:docGrid w:type="linesAndChars" w:linePitch="312" w:charSpace="0"/>
        </w:sectPr>
      </w:pPr>
      <w:r>
        <w:rPr>
          <w:rFonts w:hint="eastAsia"/>
          <w:sz w:val="28"/>
          <w:szCs w:val="28"/>
        </w:rPr>
        <w:t>本规范委托安徽省碳达峰碳中和计量技术委员会负责解释</w:t>
      </w:r>
    </w:p>
    <w:p w14:paraId="31A36ACD">
      <w:pPr>
        <w:rPr>
          <w:sz w:val="24"/>
        </w:rPr>
      </w:pPr>
    </w:p>
    <w:p w14:paraId="763FC019">
      <w:pPr>
        <w:ind w:firstLine="562"/>
        <w:rPr>
          <w:rFonts w:ascii="黑体" w:eastAsia="黑体"/>
          <w:b/>
          <w:sz w:val="28"/>
          <w:szCs w:val="28"/>
        </w:rPr>
      </w:pPr>
    </w:p>
    <w:p w14:paraId="0787CCF9">
      <w:pPr>
        <w:ind w:firstLine="1120" w:firstLineChars="400"/>
        <w:rPr>
          <w:rFonts w:ascii="黑体" w:eastAsia="黑体"/>
          <w:sz w:val="28"/>
          <w:szCs w:val="28"/>
        </w:rPr>
      </w:pPr>
      <w:r>
        <w:rPr>
          <w:rFonts w:hint="eastAsia" w:ascii="黑体" w:eastAsia="黑体"/>
          <w:sz w:val="28"/>
          <w:szCs w:val="28"/>
        </w:rPr>
        <w:t>本规范主要起草人</w:t>
      </w:r>
      <w:r>
        <w:rPr>
          <w:rFonts w:hint="eastAsia"/>
          <w:sz w:val="28"/>
          <w:szCs w:val="28"/>
        </w:rPr>
        <w:t>：</w:t>
      </w:r>
      <w:r>
        <w:rPr>
          <w:rFonts w:hint="eastAsia" w:ascii="黑体" w:eastAsia="黑体"/>
          <w:sz w:val="28"/>
          <w:szCs w:val="28"/>
        </w:rPr>
        <w:t xml:space="preserve"> </w:t>
      </w:r>
    </w:p>
    <w:p w14:paraId="434DAD08">
      <w:pPr>
        <w:spacing w:line="360" w:lineRule="auto"/>
        <w:ind w:firstLine="2520" w:firstLineChars="900"/>
        <w:jc w:val="left"/>
        <w:rPr>
          <w:rFonts w:ascii="宋体" w:hAnsi="宋体"/>
          <w:sz w:val="28"/>
          <w:szCs w:val="28"/>
        </w:rPr>
      </w:pPr>
      <w:r>
        <w:rPr>
          <w:rFonts w:hint="eastAsia" w:ascii="宋体" w:hAnsi="宋体"/>
          <w:sz w:val="28"/>
          <w:szCs w:val="28"/>
        </w:rPr>
        <w:t>殷</w:t>
      </w:r>
      <w:r>
        <w:rPr>
          <w:rFonts w:ascii="宋体" w:hAnsi="宋体"/>
          <w:sz w:val="28"/>
          <w:szCs w:val="28"/>
        </w:rPr>
        <w:t>春前（</w:t>
      </w:r>
      <w:r>
        <w:rPr>
          <w:rFonts w:hint="eastAsia" w:ascii="宋体" w:hAnsi="宋体"/>
          <w:sz w:val="28"/>
          <w:szCs w:val="28"/>
        </w:rPr>
        <w:t>宣城市</w:t>
      </w:r>
      <w:r>
        <w:rPr>
          <w:rFonts w:ascii="宋体" w:hAnsi="宋体"/>
          <w:sz w:val="28"/>
          <w:szCs w:val="28"/>
        </w:rPr>
        <w:t>标准计量所）</w:t>
      </w:r>
    </w:p>
    <w:p w14:paraId="7B1F4D7A">
      <w:pPr>
        <w:spacing w:line="360" w:lineRule="auto"/>
        <w:ind w:firstLine="2520" w:firstLineChars="900"/>
        <w:jc w:val="left"/>
        <w:rPr>
          <w:rFonts w:ascii="宋体" w:hAnsi="宋体"/>
          <w:sz w:val="28"/>
          <w:szCs w:val="28"/>
        </w:rPr>
      </w:pPr>
      <w:r>
        <w:rPr>
          <w:rFonts w:hint="eastAsia" w:ascii="宋体" w:hAnsi="宋体"/>
          <w:sz w:val="28"/>
          <w:szCs w:val="28"/>
        </w:rPr>
        <w:t>王茂军（宣城市标准计量所）</w:t>
      </w:r>
    </w:p>
    <w:p w14:paraId="4E75D3A5">
      <w:pPr>
        <w:spacing w:line="360" w:lineRule="auto"/>
        <w:ind w:firstLine="2520" w:firstLineChars="900"/>
        <w:jc w:val="left"/>
        <w:rPr>
          <w:rFonts w:ascii="宋体" w:hAnsi="宋体"/>
          <w:sz w:val="28"/>
          <w:szCs w:val="28"/>
        </w:rPr>
      </w:pPr>
      <w:r>
        <w:rPr>
          <w:rFonts w:hint="eastAsia" w:ascii="宋体" w:hAnsi="宋体"/>
          <w:sz w:val="28"/>
          <w:szCs w:val="28"/>
        </w:rPr>
        <w:t>向志龙（宣城市标准计量所）</w:t>
      </w:r>
    </w:p>
    <w:p w14:paraId="45A7C0F2">
      <w:pPr>
        <w:spacing w:line="360" w:lineRule="auto"/>
        <w:ind w:firstLine="2520" w:firstLineChars="900"/>
        <w:jc w:val="left"/>
        <w:rPr>
          <w:rFonts w:ascii="宋体" w:hAnsi="宋体"/>
          <w:sz w:val="28"/>
          <w:szCs w:val="28"/>
        </w:rPr>
      </w:pPr>
      <w:r>
        <w:rPr>
          <w:rFonts w:hint="eastAsia" w:ascii="宋体" w:hAnsi="宋体"/>
          <w:sz w:val="28"/>
          <w:szCs w:val="28"/>
        </w:rPr>
        <w:t xml:space="preserve">王 </w:t>
      </w:r>
      <w:r>
        <w:rPr>
          <w:rFonts w:ascii="宋体" w:hAnsi="宋体"/>
          <w:sz w:val="28"/>
          <w:szCs w:val="28"/>
        </w:rPr>
        <w:t xml:space="preserve"> </w:t>
      </w:r>
      <w:r>
        <w:rPr>
          <w:rFonts w:hint="eastAsia" w:ascii="宋体" w:hAnsi="宋体"/>
          <w:sz w:val="28"/>
          <w:szCs w:val="28"/>
        </w:rPr>
        <w:t>易（安徽省计量科学研究院）</w:t>
      </w:r>
      <w:r>
        <w:rPr>
          <w:rFonts w:hint="eastAsia" w:ascii="宋体" w:hAnsi="宋体"/>
          <w:sz w:val="28"/>
          <w:szCs w:val="28"/>
        </w:rPr>
        <w:tab/>
      </w:r>
    </w:p>
    <w:p w14:paraId="660BE7EC">
      <w:pPr>
        <w:spacing w:line="360" w:lineRule="auto"/>
        <w:ind w:firstLine="2520" w:firstLineChars="900"/>
        <w:jc w:val="left"/>
        <w:rPr>
          <w:rFonts w:ascii="宋体" w:hAnsi="宋体"/>
          <w:sz w:val="28"/>
          <w:szCs w:val="28"/>
        </w:rPr>
      </w:pPr>
      <w:r>
        <w:rPr>
          <w:rFonts w:hint="eastAsia" w:ascii="宋体" w:hAnsi="宋体"/>
          <w:sz w:val="28"/>
          <w:szCs w:val="28"/>
        </w:rPr>
        <w:t xml:space="preserve">刘 </w:t>
      </w:r>
      <w:r>
        <w:rPr>
          <w:rFonts w:ascii="宋体" w:hAnsi="宋体"/>
          <w:sz w:val="28"/>
          <w:szCs w:val="28"/>
        </w:rPr>
        <w:t xml:space="preserve"> </w:t>
      </w:r>
      <w:r>
        <w:rPr>
          <w:rFonts w:hint="eastAsia" w:ascii="宋体" w:hAnsi="宋体"/>
          <w:sz w:val="28"/>
          <w:szCs w:val="28"/>
        </w:rPr>
        <w:t>占（宣州区市场监督管理局）</w:t>
      </w:r>
    </w:p>
    <w:p w14:paraId="6CEF8127">
      <w:pPr>
        <w:ind w:firstLine="1932" w:firstLineChars="690"/>
        <w:rPr>
          <w:rFonts w:ascii="宋体" w:hAnsi="宋体"/>
          <w:sz w:val="28"/>
          <w:szCs w:val="28"/>
        </w:rPr>
      </w:pPr>
      <w:r>
        <w:rPr>
          <w:rFonts w:hint="eastAsia" w:ascii="黑体" w:eastAsia="黑体"/>
          <w:sz w:val="28"/>
          <w:szCs w:val="28"/>
        </w:rPr>
        <w:t>参加起草人</w:t>
      </w:r>
      <w:r>
        <w:rPr>
          <w:rFonts w:hint="eastAsia"/>
          <w:sz w:val="28"/>
          <w:szCs w:val="28"/>
        </w:rPr>
        <w:t>：</w:t>
      </w:r>
    </w:p>
    <w:p w14:paraId="7B0003FB">
      <w:pPr>
        <w:ind w:firstLine="2660" w:firstLineChars="950"/>
        <w:rPr>
          <w:rFonts w:ascii="宋体" w:hAnsi="宋体"/>
          <w:sz w:val="28"/>
          <w:szCs w:val="28"/>
        </w:rPr>
      </w:pPr>
      <w:r>
        <w:rPr>
          <w:rFonts w:hint="eastAsia" w:ascii="宋体" w:hAnsi="宋体"/>
          <w:sz w:val="28"/>
          <w:szCs w:val="28"/>
        </w:rPr>
        <w:t>殷锦汉</w:t>
      </w:r>
      <w:r>
        <w:rPr>
          <w:rFonts w:ascii="宋体" w:hAnsi="宋体"/>
          <w:sz w:val="28"/>
          <w:szCs w:val="28"/>
        </w:rPr>
        <w:t>（</w:t>
      </w:r>
      <w:r>
        <w:rPr>
          <w:rFonts w:hint="eastAsia" w:ascii="宋体" w:hAnsi="宋体"/>
          <w:sz w:val="28"/>
          <w:szCs w:val="28"/>
        </w:rPr>
        <w:t>宣城市</w:t>
      </w:r>
      <w:r>
        <w:rPr>
          <w:rFonts w:ascii="宋体" w:hAnsi="宋体"/>
          <w:sz w:val="28"/>
          <w:szCs w:val="28"/>
        </w:rPr>
        <w:t>标准计量所）</w:t>
      </w:r>
    </w:p>
    <w:p w14:paraId="0089A145">
      <w:pPr>
        <w:ind w:firstLine="2660" w:firstLineChars="950"/>
        <w:rPr>
          <w:rFonts w:ascii="宋体" w:hAnsi="宋体"/>
          <w:sz w:val="28"/>
          <w:szCs w:val="28"/>
        </w:rPr>
      </w:pPr>
      <w:r>
        <w:rPr>
          <w:rFonts w:hint="eastAsia" w:ascii="宋体" w:hAnsi="宋体"/>
          <w:sz w:val="28"/>
          <w:szCs w:val="28"/>
        </w:rPr>
        <w:t>刘  瑀</w:t>
      </w:r>
      <w:r>
        <w:rPr>
          <w:rFonts w:ascii="宋体" w:hAnsi="宋体"/>
          <w:sz w:val="28"/>
          <w:szCs w:val="28"/>
        </w:rPr>
        <w:t>（</w:t>
      </w:r>
      <w:r>
        <w:rPr>
          <w:rFonts w:hint="eastAsia" w:ascii="宋体" w:hAnsi="宋体"/>
          <w:sz w:val="28"/>
          <w:szCs w:val="28"/>
        </w:rPr>
        <w:t>宣城市</w:t>
      </w:r>
      <w:r>
        <w:rPr>
          <w:rFonts w:ascii="宋体" w:hAnsi="宋体"/>
          <w:sz w:val="28"/>
          <w:szCs w:val="28"/>
        </w:rPr>
        <w:t>标准计量所）</w:t>
      </w:r>
    </w:p>
    <w:p w14:paraId="7E78DA46">
      <w:pPr>
        <w:ind w:firstLine="2660" w:firstLineChars="950"/>
        <w:rPr>
          <w:rFonts w:ascii="宋体" w:hAnsi="宋体"/>
          <w:sz w:val="28"/>
          <w:szCs w:val="28"/>
        </w:rPr>
      </w:pPr>
      <w:r>
        <w:rPr>
          <w:rFonts w:hint="eastAsia" w:ascii="宋体" w:hAnsi="宋体"/>
          <w:sz w:val="28"/>
          <w:szCs w:val="28"/>
        </w:rPr>
        <w:t>汪</w:t>
      </w:r>
      <w:r>
        <w:rPr>
          <w:rFonts w:ascii="宋体" w:hAnsi="宋体"/>
          <w:sz w:val="28"/>
          <w:szCs w:val="28"/>
        </w:rPr>
        <w:t>世伟（</w:t>
      </w:r>
      <w:r>
        <w:rPr>
          <w:rFonts w:hint="eastAsia" w:ascii="宋体" w:hAnsi="宋体"/>
          <w:sz w:val="28"/>
          <w:szCs w:val="28"/>
        </w:rPr>
        <w:t>宣城市</w:t>
      </w:r>
      <w:r>
        <w:rPr>
          <w:rFonts w:ascii="宋体" w:hAnsi="宋体"/>
          <w:sz w:val="28"/>
          <w:szCs w:val="28"/>
        </w:rPr>
        <w:t>标准计量所）</w:t>
      </w:r>
    </w:p>
    <w:p w14:paraId="7BAE51EE">
      <w:pPr>
        <w:ind w:firstLine="2660" w:firstLineChars="950"/>
        <w:rPr>
          <w:rFonts w:ascii="宋体" w:hAnsi="宋体"/>
          <w:sz w:val="28"/>
          <w:szCs w:val="28"/>
        </w:rPr>
      </w:pPr>
      <w:r>
        <w:rPr>
          <w:rFonts w:hint="eastAsia" w:ascii="宋体" w:hAnsi="宋体"/>
          <w:sz w:val="28"/>
          <w:szCs w:val="28"/>
        </w:rPr>
        <w:t>李  平</w:t>
      </w:r>
      <w:r>
        <w:rPr>
          <w:rFonts w:ascii="宋体" w:hAnsi="宋体"/>
          <w:sz w:val="28"/>
          <w:szCs w:val="28"/>
        </w:rPr>
        <w:t>（</w:t>
      </w:r>
      <w:r>
        <w:rPr>
          <w:rFonts w:hint="eastAsia" w:ascii="宋体" w:hAnsi="宋体"/>
          <w:sz w:val="28"/>
          <w:szCs w:val="28"/>
        </w:rPr>
        <w:t>宣城市</w:t>
      </w:r>
      <w:r>
        <w:rPr>
          <w:rFonts w:ascii="宋体" w:hAnsi="宋体"/>
          <w:sz w:val="28"/>
          <w:szCs w:val="28"/>
        </w:rPr>
        <w:t>标准计量所）</w:t>
      </w:r>
    </w:p>
    <w:p w14:paraId="780C1524">
      <w:pPr>
        <w:ind w:firstLine="2660" w:firstLineChars="950"/>
        <w:rPr>
          <w:rFonts w:ascii="宋体" w:hAnsi="宋体"/>
          <w:sz w:val="28"/>
          <w:szCs w:val="28"/>
        </w:rPr>
      </w:pPr>
    </w:p>
    <w:p w14:paraId="4F0FA01D">
      <w:pPr>
        <w:pStyle w:val="2"/>
        <w:ind w:firstLine="643"/>
      </w:pPr>
    </w:p>
    <w:p w14:paraId="2EAA61F1">
      <w:pPr>
        <w:pStyle w:val="2"/>
        <w:ind w:firstLine="643"/>
        <w:sectPr>
          <w:pgSz w:w="11906" w:h="16838"/>
          <w:pgMar w:top="1440" w:right="1134" w:bottom="1440" w:left="1134" w:header="851" w:footer="992" w:gutter="0"/>
          <w:pgNumType w:fmt="upperRoman" w:start="1"/>
          <w:cols w:space="720" w:num="1"/>
          <w:docGrid w:type="linesAndChars" w:linePitch="312" w:charSpace="0"/>
        </w:sectPr>
      </w:pPr>
      <w:r>
        <w:rPr>
          <w:rFonts w:hint="eastAsia"/>
        </w:rPr>
        <w:t xml:space="preserve">    </w:t>
      </w:r>
    </w:p>
    <w:sdt>
      <w:sdtPr>
        <w:rPr>
          <w:rFonts w:ascii="Times New Roman" w:hAnsi="Times New Roman" w:eastAsia="宋体" w:cs="Times New Roman"/>
          <w:b w:val="0"/>
          <w:bCs w:val="0"/>
          <w:color w:val="auto"/>
          <w:kern w:val="2"/>
          <w:sz w:val="21"/>
          <w:szCs w:val="24"/>
          <w:lang w:val="zh-CN"/>
        </w:rPr>
        <w:id w:val="214681438"/>
        <w:docPartObj>
          <w:docPartGallery w:val="Table of Contents"/>
          <w:docPartUnique/>
        </w:docPartObj>
      </w:sdtPr>
      <w:sdtEndPr>
        <w:rPr>
          <w:rFonts w:ascii="Times New Roman" w:hAnsi="Times New Roman" w:eastAsia="宋体" w:cs="Times New Roman"/>
          <w:b w:val="0"/>
          <w:bCs w:val="0"/>
          <w:color w:val="auto"/>
          <w:kern w:val="2"/>
          <w:sz w:val="21"/>
          <w:szCs w:val="24"/>
          <w:lang w:val="en-US"/>
        </w:rPr>
      </w:sdtEndPr>
      <w:sdtContent>
        <w:p w14:paraId="4501272E">
          <w:pPr>
            <w:pStyle w:val="76"/>
            <w:spacing w:line="360" w:lineRule="auto"/>
            <w:ind w:firstLine="722" w:firstLineChars="344"/>
            <w:jc w:val="center"/>
            <w:rPr>
              <w:rFonts w:ascii="黑体" w:hAnsi="黑体" w:eastAsia="黑体"/>
              <w:b w:val="0"/>
              <w:color w:val="auto"/>
              <w:sz w:val="44"/>
              <w:szCs w:val="44"/>
              <w:lang w:val="zh-CN"/>
            </w:rPr>
          </w:pPr>
          <w:bookmarkStart w:id="0" w:name="_Toc353651446"/>
          <w:bookmarkStart w:id="1" w:name="_Toc339537048"/>
          <w:r>
            <w:rPr>
              <w:rFonts w:ascii="黑体" w:hAnsi="黑体" w:eastAsia="黑体"/>
              <w:b w:val="0"/>
              <w:color w:val="auto"/>
              <w:sz w:val="44"/>
              <w:szCs w:val="44"/>
              <w:lang w:val="zh-CN"/>
            </w:rPr>
            <w:t>目</w:t>
          </w:r>
          <w:r>
            <w:rPr>
              <w:rFonts w:hint="eastAsia" w:ascii="黑体" w:hAnsi="黑体" w:eastAsia="黑体"/>
              <w:b w:val="0"/>
              <w:color w:val="auto"/>
              <w:sz w:val="44"/>
              <w:szCs w:val="44"/>
              <w:lang w:val="zh-CN"/>
            </w:rPr>
            <w:t xml:space="preserve">     </w:t>
          </w:r>
          <w:r>
            <w:rPr>
              <w:rFonts w:ascii="黑体" w:hAnsi="黑体" w:eastAsia="黑体"/>
              <w:b w:val="0"/>
              <w:color w:val="auto"/>
              <w:sz w:val="44"/>
              <w:szCs w:val="44"/>
              <w:lang w:val="zh-CN"/>
            </w:rPr>
            <w:t>录</w:t>
          </w:r>
        </w:p>
        <w:p w14:paraId="7C670ED4">
          <w:pPr>
            <w:ind w:firstLine="420"/>
            <w:rPr>
              <w:lang w:val="zh-CN"/>
            </w:rPr>
          </w:pPr>
        </w:p>
        <w:p w14:paraId="1197EABD">
          <w:pPr>
            <w:pStyle w:val="21"/>
            <w:tabs>
              <w:tab w:val="right" w:leader="middleDot" w:pos="9070"/>
            </w:tabs>
            <w:ind w:firstLine="420"/>
            <w:rPr>
              <w:sz w:val="24"/>
            </w:rPr>
          </w:pPr>
          <w:r>
            <w:fldChar w:fldCharType="begin"/>
          </w:r>
          <w:r>
            <w:instrText xml:space="preserve">TOC \o "1-3" \h \u </w:instrText>
          </w:r>
          <w:r>
            <w:fldChar w:fldCharType="separate"/>
          </w:r>
          <w:r>
            <w:fldChar w:fldCharType="begin"/>
          </w:r>
          <w:r>
            <w:instrText xml:space="preserve"> HYPERLINK \l "_Toc30193" </w:instrText>
          </w:r>
          <w:r>
            <w:fldChar w:fldCharType="separate"/>
          </w:r>
          <w:r>
            <w:rPr>
              <w:rFonts w:hint="eastAsia"/>
              <w:sz w:val="24"/>
            </w:rPr>
            <w:t>引言</w:t>
          </w:r>
          <w:r>
            <w:rPr>
              <w:sz w:val="24"/>
            </w:rPr>
            <w:tab/>
          </w:r>
          <w:r>
            <w:rPr>
              <w:rFonts w:hint="eastAsia" w:ascii="宋体" w:hAnsi="宋体" w:cs="宋体"/>
              <w:sz w:val="24"/>
            </w:rPr>
            <w:t>(II</w:t>
          </w:r>
          <w:r>
            <w:rPr>
              <w:rFonts w:hint="eastAsia" w:ascii="宋体" w:hAnsi="宋体" w:cs="宋体"/>
              <w:sz w:val="24"/>
            </w:rPr>
            <w:fldChar w:fldCharType="end"/>
          </w:r>
          <w:r>
            <w:rPr>
              <w:rFonts w:hint="eastAsia" w:ascii="宋体" w:hAnsi="宋体" w:cs="宋体"/>
              <w:sz w:val="24"/>
            </w:rPr>
            <w:t>)</w:t>
          </w:r>
        </w:p>
        <w:p w14:paraId="09FA48BC">
          <w:pPr>
            <w:pStyle w:val="21"/>
            <w:tabs>
              <w:tab w:val="right" w:leader="middleDot" w:pos="9070"/>
            </w:tabs>
            <w:ind w:firstLine="420"/>
            <w:rPr>
              <w:sz w:val="24"/>
            </w:rPr>
          </w:pPr>
          <w:r>
            <w:fldChar w:fldCharType="begin"/>
          </w:r>
          <w:r>
            <w:instrText xml:space="preserve"> HYPERLINK \l "_Toc20848" </w:instrText>
          </w:r>
          <w:r>
            <w:fldChar w:fldCharType="separate"/>
          </w:r>
          <w:r>
            <w:rPr>
              <w:rFonts w:hint="eastAsia" w:ascii="宋体" w:hAnsi="宋体" w:cs="宋体"/>
              <w:sz w:val="24"/>
            </w:rPr>
            <w:t>1  范围</w:t>
          </w:r>
          <w:r>
            <w:rPr>
              <w:sz w:val="24"/>
            </w:rPr>
            <w:tab/>
          </w:r>
          <w:r>
            <w:rPr>
              <w:rFonts w:hint="eastAsia" w:ascii="宋体" w:hAnsi="宋体" w:cs="宋体"/>
              <w:sz w:val="24"/>
            </w:rPr>
            <w:t>(</w:t>
          </w:r>
          <w:r>
            <w:rPr>
              <w:rFonts w:hint="eastAsia" w:ascii="宋体" w:hAnsi="宋体" w:cs="宋体"/>
              <w:sz w:val="24"/>
              <w:vertAlign w:val="superscript"/>
            </w:rPr>
            <w:t xml:space="preserve"> </w:t>
          </w:r>
          <w:r>
            <w:rPr>
              <w:rFonts w:hint="eastAsia" w:ascii="宋体" w:hAnsi="宋体" w:cs="宋体"/>
              <w:sz w:val="24"/>
            </w:rPr>
            <w:fldChar w:fldCharType="begin"/>
          </w:r>
          <w:r>
            <w:rPr>
              <w:rFonts w:hint="eastAsia" w:ascii="宋体" w:hAnsi="宋体" w:cs="宋体"/>
              <w:sz w:val="24"/>
            </w:rPr>
            <w:instrText xml:space="preserve"> PAGEREF _Toc20848 \h </w:instrText>
          </w:r>
          <w:r>
            <w:rPr>
              <w:rFonts w:hint="eastAsia" w:ascii="宋体" w:hAnsi="宋体" w:cs="宋体"/>
              <w:sz w:val="24"/>
            </w:rPr>
            <w:fldChar w:fldCharType="separate"/>
          </w:r>
          <w:r>
            <w:rPr>
              <w:rFonts w:ascii="宋体" w:hAnsi="宋体" w:cs="宋体"/>
              <w:sz w:val="24"/>
            </w:rPr>
            <w:t>1</w:t>
          </w:r>
          <w:r>
            <w:rPr>
              <w:rFonts w:hint="eastAsia" w:ascii="宋体" w:hAnsi="宋体" w:cs="宋体"/>
              <w:sz w:val="24"/>
            </w:rPr>
            <w:fldChar w:fldCharType="end"/>
          </w:r>
          <w:r>
            <w:rPr>
              <w:rFonts w:hint="eastAsia" w:ascii="宋体" w:hAnsi="宋体" w:cs="宋体"/>
              <w:sz w:val="24"/>
            </w:rPr>
            <w:fldChar w:fldCharType="end"/>
          </w:r>
          <w:r>
            <w:rPr>
              <w:rFonts w:hint="eastAsia"/>
              <w:sz w:val="24"/>
              <w:vertAlign w:val="superscript"/>
            </w:rPr>
            <w:t xml:space="preserve"> </w:t>
          </w:r>
          <w:r>
            <w:rPr>
              <w:rFonts w:hint="eastAsia" w:ascii="宋体" w:hAnsi="宋体" w:cs="宋体"/>
              <w:sz w:val="24"/>
            </w:rPr>
            <w:t>)</w:t>
          </w:r>
        </w:p>
        <w:p w14:paraId="352EEB8F">
          <w:pPr>
            <w:pStyle w:val="21"/>
            <w:tabs>
              <w:tab w:val="right" w:leader="middleDot" w:pos="9070"/>
            </w:tabs>
            <w:ind w:firstLine="420"/>
            <w:rPr>
              <w:sz w:val="24"/>
            </w:rPr>
          </w:pPr>
          <w:r>
            <w:fldChar w:fldCharType="begin"/>
          </w:r>
          <w:r>
            <w:instrText xml:space="preserve"> HYPERLINK \l "_Toc29054" </w:instrText>
          </w:r>
          <w:r>
            <w:fldChar w:fldCharType="separate"/>
          </w:r>
          <w:r>
            <w:rPr>
              <w:rFonts w:hint="eastAsia" w:ascii="宋体" w:hAnsi="宋体" w:cs="宋体"/>
              <w:sz w:val="24"/>
            </w:rPr>
            <w:t>2  引用文件</w:t>
          </w:r>
          <w:r>
            <w:rPr>
              <w:sz w:val="24"/>
            </w:rPr>
            <w:tab/>
          </w:r>
          <w:r>
            <w:rPr>
              <w:rFonts w:hint="eastAsia" w:ascii="宋体" w:hAnsi="宋体" w:cs="宋体"/>
              <w:sz w:val="24"/>
            </w:rPr>
            <w:t>(</w:t>
          </w:r>
          <w:r>
            <w:rPr>
              <w:rFonts w:hint="eastAsia" w:ascii="宋体" w:hAnsi="宋体" w:cs="宋体"/>
              <w:sz w:val="24"/>
              <w:vertAlign w:val="superscript"/>
            </w:rPr>
            <w:t xml:space="preserve"> </w:t>
          </w:r>
          <w:r>
            <w:rPr>
              <w:rFonts w:hint="eastAsia" w:ascii="宋体" w:hAnsi="宋体" w:cs="宋体"/>
              <w:sz w:val="24"/>
            </w:rPr>
            <w:fldChar w:fldCharType="begin"/>
          </w:r>
          <w:r>
            <w:rPr>
              <w:rFonts w:hint="eastAsia" w:ascii="宋体" w:hAnsi="宋体" w:cs="宋体"/>
              <w:sz w:val="24"/>
            </w:rPr>
            <w:instrText xml:space="preserve"> PAGEREF _Toc29054 \h </w:instrText>
          </w:r>
          <w:r>
            <w:rPr>
              <w:rFonts w:hint="eastAsia" w:ascii="宋体" w:hAnsi="宋体" w:cs="宋体"/>
              <w:sz w:val="24"/>
            </w:rPr>
            <w:fldChar w:fldCharType="separate"/>
          </w:r>
          <w:r>
            <w:rPr>
              <w:rFonts w:ascii="宋体" w:hAnsi="宋体" w:cs="宋体"/>
              <w:sz w:val="24"/>
            </w:rPr>
            <w:t>1</w:t>
          </w:r>
          <w:r>
            <w:rPr>
              <w:rFonts w:hint="eastAsia" w:ascii="宋体" w:hAnsi="宋体" w:cs="宋体"/>
              <w:sz w:val="24"/>
            </w:rPr>
            <w:fldChar w:fldCharType="end"/>
          </w:r>
          <w:r>
            <w:rPr>
              <w:rFonts w:hint="eastAsia" w:ascii="宋体" w:hAnsi="宋体" w:cs="宋体"/>
              <w:sz w:val="24"/>
            </w:rPr>
            <w:fldChar w:fldCharType="end"/>
          </w:r>
          <w:r>
            <w:rPr>
              <w:rFonts w:hint="eastAsia"/>
              <w:sz w:val="24"/>
              <w:vertAlign w:val="superscript"/>
            </w:rPr>
            <w:t xml:space="preserve"> </w:t>
          </w:r>
          <w:r>
            <w:rPr>
              <w:rFonts w:hint="eastAsia" w:ascii="宋体" w:hAnsi="宋体" w:cs="宋体"/>
              <w:sz w:val="24"/>
            </w:rPr>
            <w:t>)</w:t>
          </w:r>
        </w:p>
        <w:p w14:paraId="2617C90F">
          <w:pPr>
            <w:pStyle w:val="21"/>
            <w:tabs>
              <w:tab w:val="right" w:leader="middleDot" w:pos="9070"/>
            </w:tabs>
            <w:ind w:firstLine="420"/>
            <w:rPr>
              <w:sz w:val="24"/>
            </w:rPr>
          </w:pPr>
          <w:r>
            <w:fldChar w:fldCharType="begin"/>
          </w:r>
          <w:r>
            <w:instrText xml:space="preserve"> HYPERLINK \l "_Toc8615" </w:instrText>
          </w:r>
          <w:r>
            <w:fldChar w:fldCharType="separate"/>
          </w:r>
          <w:r>
            <w:rPr>
              <w:rStyle w:val="33"/>
              <w:rFonts w:hint="eastAsia" w:ascii="宋体" w:hAnsi="宋体" w:cs="宋体"/>
              <w:sz w:val="24"/>
            </w:rPr>
            <w:t>3  术语和定义</w:t>
          </w:r>
          <w:r>
            <w:rPr>
              <w:rStyle w:val="33"/>
              <w:sz w:val="24"/>
            </w:rPr>
            <w:tab/>
          </w:r>
          <w:r>
            <w:rPr>
              <w:rStyle w:val="33"/>
              <w:rFonts w:hint="eastAsia" w:ascii="宋体" w:hAnsi="宋体" w:cs="宋体"/>
              <w:sz w:val="24"/>
            </w:rPr>
            <w:t>(</w:t>
          </w:r>
          <w:r>
            <w:rPr>
              <w:rStyle w:val="33"/>
              <w:rFonts w:hint="eastAsia" w:ascii="宋体" w:hAnsi="宋体" w:cs="宋体"/>
              <w:sz w:val="24"/>
              <w:vertAlign w:val="superscript"/>
            </w:rPr>
            <w:t xml:space="preserve"> </w:t>
          </w:r>
          <w:r>
            <w:rPr>
              <w:rStyle w:val="33"/>
              <w:rFonts w:hint="eastAsia" w:ascii="宋体" w:hAnsi="宋体" w:cs="宋体"/>
              <w:sz w:val="24"/>
            </w:rPr>
            <w:fldChar w:fldCharType="begin"/>
          </w:r>
          <w:r>
            <w:rPr>
              <w:rStyle w:val="33"/>
              <w:rFonts w:hint="eastAsia" w:ascii="宋体" w:hAnsi="宋体" w:cs="宋体"/>
              <w:sz w:val="24"/>
            </w:rPr>
            <w:instrText xml:space="preserve"> PAGEREF _Toc8615 \h </w:instrText>
          </w:r>
          <w:r>
            <w:rPr>
              <w:rStyle w:val="33"/>
              <w:rFonts w:hint="eastAsia" w:ascii="宋体" w:hAnsi="宋体" w:cs="宋体"/>
              <w:sz w:val="24"/>
            </w:rPr>
            <w:fldChar w:fldCharType="separate"/>
          </w:r>
          <w:r>
            <w:rPr>
              <w:rStyle w:val="33"/>
              <w:rFonts w:ascii="宋体" w:hAnsi="宋体" w:cs="宋体"/>
              <w:sz w:val="24"/>
            </w:rPr>
            <w:t>1</w:t>
          </w:r>
          <w:r>
            <w:rPr>
              <w:rStyle w:val="33"/>
              <w:rFonts w:hint="eastAsia" w:ascii="宋体" w:hAnsi="宋体" w:cs="宋体"/>
              <w:sz w:val="24"/>
            </w:rPr>
            <w:fldChar w:fldCharType="end"/>
          </w:r>
          <w:r>
            <w:rPr>
              <w:rStyle w:val="33"/>
              <w:rFonts w:hint="eastAsia" w:ascii="宋体" w:hAnsi="宋体" w:cs="宋体"/>
              <w:sz w:val="24"/>
            </w:rPr>
            <w:fldChar w:fldCharType="end"/>
          </w:r>
          <w:r>
            <w:rPr>
              <w:rFonts w:hint="eastAsia"/>
              <w:sz w:val="24"/>
              <w:vertAlign w:val="superscript"/>
            </w:rPr>
            <w:t xml:space="preserve"> </w:t>
          </w:r>
          <w:r>
            <w:rPr>
              <w:rFonts w:hint="eastAsia" w:ascii="宋体" w:hAnsi="宋体" w:cs="宋体"/>
              <w:sz w:val="24"/>
            </w:rPr>
            <w:t>)</w:t>
          </w:r>
        </w:p>
        <w:p w14:paraId="1F8F2205">
          <w:pPr>
            <w:pStyle w:val="24"/>
            <w:tabs>
              <w:tab w:val="right" w:leader="middleDot" w:pos="9070"/>
            </w:tabs>
            <w:ind w:left="0" w:leftChars="0" w:firstLine="420"/>
            <w:rPr>
              <w:sz w:val="24"/>
            </w:rPr>
          </w:pPr>
          <w:r>
            <w:fldChar w:fldCharType="begin"/>
          </w:r>
          <w:r>
            <w:instrText xml:space="preserve"> HYPERLINK \l "_Toc10336" </w:instrText>
          </w:r>
          <w:r>
            <w:fldChar w:fldCharType="separate"/>
          </w:r>
          <w:r>
            <w:rPr>
              <w:rStyle w:val="33"/>
              <w:rFonts w:hint="eastAsia" w:ascii="宋体" w:hAnsi="宋体" w:cs="宋体"/>
              <w:sz w:val="24"/>
            </w:rPr>
            <w:t>3.1  碳排放</w:t>
          </w:r>
          <w:r>
            <w:rPr>
              <w:rStyle w:val="33"/>
              <w:sz w:val="24"/>
            </w:rPr>
            <w:tab/>
          </w:r>
          <w:r>
            <w:rPr>
              <w:rStyle w:val="33"/>
              <w:rFonts w:hint="eastAsia" w:ascii="宋体" w:hAnsi="宋体" w:cs="宋体"/>
              <w:sz w:val="24"/>
            </w:rPr>
            <w:t>(</w:t>
          </w:r>
          <w:r>
            <w:rPr>
              <w:rStyle w:val="33"/>
              <w:rFonts w:hint="eastAsia" w:ascii="宋体" w:hAnsi="宋体" w:cs="宋体"/>
              <w:sz w:val="24"/>
              <w:vertAlign w:val="superscript"/>
            </w:rPr>
            <w:t xml:space="preserve"> </w:t>
          </w:r>
          <w:r>
            <w:rPr>
              <w:rStyle w:val="33"/>
              <w:rFonts w:hint="eastAsia" w:ascii="宋体" w:hAnsi="宋体" w:cs="宋体"/>
              <w:sz w:val="24"/>
            </w:rPr>
            <w:fldChar w:fldCharType="begin"/>
          </w:r>
          <w:r>
            <w:rPr>
              <w:rStyle w:val="33"/>
              <w:rFonts w:hint="eastAsia" w:ascii="宋体" w:hAnsi="宋体" w:cs="宋体"/>
              <w:sz w:val="24"/>
            </w:rPr>
            <w:instrText xml:space="preserve"> PAGEREF _Toc10336 \h </w:instrText>
          </w:r>
          <w:r>
            <w:rPr>
              <w:rStyle w:val="33"/>
              <w:rFonts w:hint="eastAsia" w:ascii="宋体" w:hAnsi="宋体" w:cs="宋体"/>
              <w:sz w:val="24"/>
            </w:rPr>
            <w:fldChar w:fldCharType="separate"/>
          </w:r>
          <w:r>
            <w:rPr>
              <w:rStyle w:val="33"/>
              <w:rFonts w:ascii="宋体" w:hAnsi="宋体" w:cs="宋体"/>
              <w:sz w:val="24"/>
            </w:rPr>
            <w:t>1</w:t>
          </w:r>
          <w:r>
            <w:rPr>
              <w:rStyle w:val="33"/>
              <w:rFonts w:hint="eastAsia" w:ascii="宋体" w:hAnsi="宋体" w:cs="宋体"/>
              <w:sz w:val="24"/>
            </w:rPr>
            <w:fldChar w:fldCharType="end"/>
          </w:r>
          <w:r>
            <w:rPr>
              <w:rStyle w:val="33"/>
              <w:rFonts w:hint="eastAsia" w:ascii="宋体" w:hAnsi="宋体" w:cs="宋体"/>
              <w:sz w:val="24"/>
            </w:rPr>
            <w:fldChar w:fldCharType="end"/>
          </w:r>
          <w:r>
            <w:rPr>
              <w:rFonts w:hint="eastAsia"/>
              <w:sz w:val="24"/>
              <w:vertAlign w:val="superscript"/>
            </w:rPr>
            <w:t xml:space="preserve"> </w:t>
          </w:r>
          <w:r>
            <w:rPr>
              <w:rFonts w:hint="eastAsia" w:ascii="宋体" w:hAnsi="宋体" w:cs="宋体"/>
              <w:sz w:val="24"/>
            </w:rPr>
            <w:t>)</w:t>
          </w:r>
        </w:p>
        <w:p w14:paraId="2696F314">
          <w:pPr>
            <w:pStyle w:val="24"/>
            <w:tabs>
              <w:tab w:val="right" w:leader="middleDot" w:pos="9070"/>
            </w:tabs>
            <w:ind w:left="0" w:leftChars="0" w:firstLine="420"/>
            <w:rPr>
              <w:sz w:val="24"/>
            </w:rPr>
          </w:pPr>
          <w:r>
            <w:fldChar w:fldCharType="begin"/>
          </w:r>
          <w:r>
            <w:instrText xml:space="preserve"> HYPERLINK \l "_Toc13835" </w:instrText>
          </w:r>
          <w:r>
            <w:fldChar w:fldCharType="separate"/>
          </w:r>
          <w:r>
            <w:rPr>
              <w:rStyle w:val="33"/>
              <w:rFonts w:hint="eastAsia" w:ascii="宋体" w:hAnsi="宋体" w:cs="宋体"/>
              <w:sz w:val="24"/>
            </w:rPr>
            <w:t>3.2  碳排放计量器具</w:t>
          </w:r>
          <w:r>
            <w:rPr>
              <w:rStyle w:val="33"/>
              <w:sz w:val="24"/>
            </w:rPr>
            <w:tab/>
          </w:r>
          <w:r>
            <w:rPr>
              <w:rStyle w:val="33"/>
              <w:rFonts w:hint="eastAsia" w:ascii="宋体" w:hAnsi="宋体" w:cs="宋体"/>
              <w:sz w:val="24"/>
            </w:rPr>
            <w:t>(</w:t>
          </w:r>
          <w:r>
            <w:rPr>
              <w:rStyle w:val="33"/>
              <w:rFonts w:hint="eastAsia" w:ascii="宋体" w:hAnsi="宋体" w:cs="宋体"/>
              <w:sz w:val="24"/>
              <w:vertAlign w:val="superscript"/>
            </w:rPr>
            <w:t xml:space="preserve"> </w:t>
          </w:r>
          <w:r>
            <w:rPr>
              <w:rStyle w:val="33"/>
              <w:rFonts w:hint="eastAsia" w:ascii="宋体" w:hAnsi="宋体" w:cs="宋体"/>
              <w:sz w:val="24"/>
            </w:rPr>
            <w:fldChar w:fldCharType="begin"/>
          </w:r>
          <w:r>
            <w:rPr>
              <w:rStyle w:val="33"/>
              <w:rFonts w:hint="eastAsia" w:ascii="宋体" w:hAnsi="宋体" w:cs="宋体"/>
              <w:sz w:val="24"/>
            </w:rPr>
            <w:instrText xml:space="preserve"> PAGEREF _Toc13835 \h </w:instrText>
          </w:r>
          <w:r>
            <w:rPr>
              <w:rStyle w:val="33"/>
              <w:rFonts w:hint="eastAsia" w:ascii="宋体" w:hAnsi="宋体" w:cs="宋体"/>
              <w:sz w:val="24"/>
            </w:rPr>
            <w:fldChar w:fldCharType="separate"/>
          </w:r>
          <w:r>
            <w:rPr>
              <w:rStyle w:val="33"/>
              <w:rFonts w:ascii="宋体" w:hAnsi="宋体" w:cs="宋体"/>
              <w:sz w:val="24"/>
            </w:rPr>
            <w:t>1</w:t>
          </w:r>
          <w:r>
            <w:rPr>
              <w:rStyle w:val="33"/>
              <w:rFonts w:hint="eastAsia" w:ascii="宋体" w:hAnsi="宋体" w:cs="宋体"/>
              <w:sz w:val="24"/>
            </w:rPr>
            <w:fldChar w:fldCharType="end"/>
          </w:r>
          <w:r>
            <w:rPr>
              <w:rStyle w:val="33"/>
              <w:rFonts w:hint="eastAsia" w:ascii="宋体" w:hAnsi="宋体" w:cs="宋体"/>
              <w:sz w:val="24"/>
            </w:rPr>
            <w:fldChar w:fldCharType="end"/>
          </w:r>
          <w:r>
            <w:rPr>
              <w:rFonts w:hint="eastAsia"/>
              <w:sz w:val="24"/>
              <w:vertAlign w:val="superscript"/>
            </w:rPr>
            <w:t xml:space="preserve"> </w:t>
          </w:r>
          <w:r>
            <w:rPr>
              <w:rFonts w:hint="eastAsia" w:ascii="宋体" w:hAnsi="宋体" w:cs="宋体"/>
              <w:sz w:val="24"/>
            </w:rPr>
            <w:t>)</w:t>
          </w:r>
        </w:p>
        <w:p w14:paraId="636A93A6">
          <w:pPr>
            <w:pStyle w:val="24"/>
            <w:tabs>
              <w:tab w:val="right" w:leader="middleDot" w:pos="9070"/>
            </w:tabs>
            <w:ind w:left="0" w:leftChars="0" w:firstLine="420"/>
            <w:rPr>
              <w:rFonts w:ascii="宋体" w:hAnsi="宋体" w:cs="宋体"/>
              <w:sz w:val="24"/>
            </w:rPr>
          </w:pPr>
          <w:r>
            <w:fldChar w:fldCharType="begin"/>
          </w:r>
          <w:r>
            <w:instrText xml:space="preserve"> HYPERLINK \l "_Toc12598" </w:instrText>
          </w:r>
          <w:r>
            <w:fldChar w:fldCharType="separate"/>
          </w:r>
          <w:r>
            <w:rPr>
              <w:rStyle w:val="33"/>
              <w:rFonts w:hint="eastAsia" w:ascii="宋体" w:hAnsi="宋体" w:cs="宋体"/>
              <w:sz w:val="24"/>
            </w:rPr>
            <w:t>3.3  碳排放计量审查</w:t>
          </w:r>
          <w:r>
            <w:rPr>
              <w:rStyle w:val="33"/>
              <w:sz w:val="24"/>
            </w:rPr>
            <w:tab/>
          </w:r>
          <w:r>
            <w:rPr>
              <w:rStyle w:val="33"/>
              <w:rFonts w:hint="eastAsia" w:ascii="宋体" w:hAnsi="宋体" w:cs="宋体"/>
              <w:sz w:val="24"/>
            </w:rPr>
            <w:t>(</w:t>
          </w:r>
          <w:r>
            <w:rPr>
              <w:rStyle w:val="33"/>
              <w:rFonts w:hint="eastAsia" w:ascii="宋体" w:hAnsi="宋体" w:cs="宋体"/>
              <w:sz w:val="24"/>
              <w:vertAlign w:val="superscript"/>
            </w:rPr>
            <w:t xml:space="preserve"> </w:t>
          </w:r>
          <w:r>
            <w:rPr>
              <w:rStyle w:val="33"/>
              <w:rFonts w:hint="eastAsia" w:ascii="宋体" w:hAnsi="宋体" w:cs="宋体"/>
              <w:sz w:val="24"/>
            </w:rPr>
            <w:fldChar w:fldCharType="begin"/>
          </w:r>
          <w:r>
            <w:rPr>
              <w:rStyle w:val="33"/>
              <w:rFonts w:hint="eastAsia" w:ascii="宋体" w:hAnsi="宋体" w:cs="宋体"/>
              <w:sz w:val="24"/>
            </w:rPr>
            <w:instrText xml:space="preserve"> PAGEREF _Toc12598 \h </w:instrText>
          </w:r>
          <w:r>
            <w:rPr>
              <w:rStyle w:val="33"/>
              <w:rFonts w:hint="eastAsia" w:ascii="宋体" w:hAnsi="宋体" w:cs="宋体"/>
              <w:sz w:val="24"/>
            </w:rPr>
            <w:fldChar w:fldCharType="separate"/>
          </w:r>
          <w:r>
            <w:rPr>
              <w:rStyle w:val="33"/>
              <w:rFonts w:ascii="宋体" w:hAnsi="宋体" w:cs="宋体"/>
              <w:sz w:val="24"/>
            </w:rPr>
            <w:t>1</w:t>
          </w:r>
          <w:r>
            <w:rPr>
              <w:rStyle w:val="33"/>
              <w:rFonts w:hint="eastAsia" w:ascii="宋体" w:hAnsi="宋体" w:cs="宋体"/>
              <w:sz w:val="24"/>
            </w:rPr>
            <w:fldChar w:fldCharType="end"/>
          </w:r>
          <w:r>
            <w:rPr>
              <w:rStyle w:val="33"/>
              <w:rFonts w:hint="eastAsia" w:ascii="宋体" w:hAnsi="宋体" w:cs="宋体"/>
              <w:sz w:val="24"/>
            </w:rPr>
            <w:fldChar w:fldCharType="end"/>
          </w:r>
          <w:r>
            <w:rPr>
              <w:rFonts w:hint="eastAsia"/>
              <w:sz w:val="24"/>
              <w:vertAlign w:val="superscript"/>
            </w:rPr>
            <w:t xml:space="preserve"> </w:t>
          </w:r>
          <w:r>
            <w:rPr>
              <w:rFonts w:hint="eastAsia" w:ascii="宋体" w:hAnsi="宋体" w:cs="宋体"/>
              <w:sz w:val="24"/>
            </w:rPr>
            <w:t>)</w:t>
          </w:r>
        </w:p>
        <w:p w14:paraId="0E23DAB6">
          <w:pPr>
            <w:pStyle w:val="24"/>
            <w:tabs>
              <w:tab w:val="right" w:leader="middleDot" w:pos="9070"/>
            </w:tabs>
            <w:ind w:left="0" w:leftChars="0" w:firstLine="420"/>
            <w:rPr>
              <w:rFonts w:ascii="宋体" w:hAnsi="宋体" w:cs="宋体"/>
              <w:sz w:val="24"/>
            </w:rPr>
          </w:pPr>
          <w:r>
            <w:fldChar w:fldCharType="begin"/>
          </w:r>
          <w:r>
            <w:instrText xml:space="preserve"> HYPERLINK \l "_Toc12598" </w:instrText>
          </w:r>
          <w:r>
            <w:fldChar w:fldCharType="separate"/>
          </w:r>
          <w:r>
            <w:rPr>
              <w:rStyle w:val="33"/>
              <w:rFonts w:hint="eastAsia" w:ascii="宋体" w:hAnsi="宋体" w:cs="宋体"/>
              <w:sz w:val="24"/>
            </w:rPr>
            <w:t>3.</w:t>
          </w:r>
          <w:r>
            <w:rPr>
              <w:rStyle w:val="33"/>
              <w:rFonts w:ascii="宋体" w:hAnsi="宋体" w:cs="宋体"/>
              <w:sz w:val="24"/>
            </w:rPr>
            <w:t>4</w:t>
          </w:r>
          <w:r>
            <w:rPr>
              <w:rStyle w:val="33"/>
              <w:rFonts w:hint="eastAsia" w:ascii="宋体" w:hAnsi="宋体" w:cs="宋体"/>
              <w:sz w:val="24"/>
            </w:rPr>
            <w:t xml:space="preserve">  活动数据</w:t>
          </w:r>
          <w:r>
            <w:rPr>
              <w:rStyle w:val="33"/>
              <w:sz w:val="24"/>
            </w:rPr>
            <w:tab/>
          </w:r>
          <w:r>
            <w:rPr>
              <w:rStyle w:val="33"/>
              <w:rFonts w:hint="eastAsia" w:ascii="宋体" w:hAnsi="宋体" w:cs="宋体"/>
              <w:sz w:val="24"/>
            </w:rPr>
            <w:t>(</w:t>
          </w:r>
          <w:r>
            <w:rPr>
              <w:rStyle w:val="33"/>
              <w:rFonts w:hint="eastAsia" w:ascii="宋体" w:hAnsi="宋体" w:cs="宋体"/>
              <w:sz w:val="24"/>
              <w:vertAlign w:val="superscript"/>
            </w:rPr>
            <w:t xml:space="preserve"> </w:t>
          </w:r>
          <w:r>
            <w:rPr>
              <w:rStyle w:val="33"/>
              <w:rFonts w:ascii="宋体" w:hAnsi="宋体" w:cs="宋体"/>
              <w:sz w:val="24"/>
            </w:rPr>
            <w:t>1</w:t>
          </w:r>
          <w:r>
            <w:rPr>
              <w:rStyle w:val="33"/>
              <w:rFonts w:ascii="宋体" w:hAnsi="宋体" w:cs="宋体"/>
              <w:sz w:val="24"/>
            </w:rPr>
            <w:fldChar w:fldCharType="end"/>
          </w:r>
          <w:r>
            <w:rPr>
              <w:rFonts w:hint="eastAsia"/>
              <w:sz w:val="24"/>
              <w:vertAlign w:val="superscript"/>
            </w:rPr>
            <w:t xml:space="preserve"> </w:t>
          </w:r>
          <w:r>
            <w:rPr>
              <w:rFonts w:hint="eastAsia" w:ascii="宋体" w:hAnsi="宋体" w:cs="宋体"/>
              <w:sz w:val="24"/>
            </w:rPr>
            <w:t>)</w:t>
          </w:r>
        </w:p>
        <w:p w14:paraId="34391834">
          <w:pPr>
            <w:pStyle w:val="24"/>
            <w:tabs>
              <w:tab w:val="right" w:leader="middleDot" w:pos="9070"/>
            </w:tabs>
            <w:ind w:left="0" w:leftChars="0" w:firstLine="420"/>
            <w:rPr>
              <w:rFonts w:ascii="宋体" w:hAnsi="宋体" w:cs="宋体"/>
              <w:sz w:val="24"/>
            </w:rPr>
          </w:pPr>
          <w:r>
            <w:fldChar w:fldCharType="begin"/>
          </w:r>
          <w:r>
            <w:instrText xml:space="preserve"> HYPERLINK \l "_Toc12598" </w:instrText>
          </w:r>
          <w:r>
            <w:fldChar w:fldCharType="separate"/>
          </w:r>
          <w:r>
            <w:rPr>
              <w:rStyle w:val="33"/>
              <w:rFonts w:hint="eastAsia" w:ascii="宋体" w:hAnsi="宋体" w:cs="宋体"/>
              <w:sz w:val="24"/>
            </w:rPr>
            <w:t>3.</w:t>
          </w:r>
          <w:r>
            <w:rPr>
              <w:rStyle w:val="33"/>
              <w:rFonts w:ascii="宋体" w:hAnsi="宋体" w:cs="宋体"/>
              <w:sz w:val="24"/>
            </w:rPr>
            <w:t>5</w:t>
          </w:r>
          <w:r>
            <w:rPr>
              <w:rStyle w:val="33"/>
              <w:rFonts w:hint="eastAsia" w:ascii="宋体" w:hAnsi="宋体" w:cs="宋体"/>
              <w:sz w:val="24"/>
            </w:rPr>
            <w:t xml:space="preserve">  排放因子</w:t>
          </w:r>
          <w:r>
            <w:rPr>
              <w:rStyle w:val="33"/>
              <w:sz w:val="24"/>
            </w:rPr>
            <w:tab/>
          </w:r>
          <w:r>
            <w:rPr>
              <w:rStyle w:val="33"/>
              <w:rFonts w:hint="eastAsia" w:ascii="宋体" w:hAnsi="宋体" w:cs="宋体"/>
              <w:sz w:val="24"/>
            </w:rPr>
            <w:t>(</w:t>
          </w:r>
          <w:r>
            <w:rPr>
              <w:rStyle w:val="33"/>
              <w:rFonts w:hint="eastAsia" w:ascii="宋体" w:hAnsi="宋体" w:cs="宋体"/>
              <w:sz w:val="24"/>
              <w:vertAlign w:val="superscript"/>
            </w:rPr>
            <w:t xml:space="preserve"> </w:t>
          </w:r>
          <w:r>
            <w:rPr>
              <w:rStyle w:val="33"/>
              <w:rFonts w:ascii="宋体" w:hAnsi="宋体" w:cs="宋体"/>
              <w:sz w:val="24"/>
            </w:rPr>
            <w:t>2</w:t>
          </w:r>
          <w:r>
            <w:rPr>
              <w:rStyle w:val="33"/>
              <w:rFonts w:ascii="宋体" w:hAnsi="宋体" w:cs="宋体"/>
              <w:sz w:val="24"/>
            </w:rPr>
            <w:fldChar w:fldCharType="end"/>
          </w:r>
          <w:r>
            <w:rPr>
              <w:rFonts w:hint="eastAsia"/>
              <w:sz w:val="24"/>
              <w:vertAlign w:val="superscript"/>
            </w:rPr>
            <w:t xml:space="preserve"> </w:t>
          </w:r>
          <w:r>
            <w:rPr>
              <w:rFonts w:hint="eastAsia" w:ascii="宋体" w:hAnsi="宋体" w:cs="宋体"/>
              <w:sz w:val="24"/>
            </w:rPr>
            <w:t>)</w:t>
          </w:r>
        </w:p>
        <w:p w14:paraId="78BB1F4C">
          <w:pPr>
            <w:pStyle w:val="24"/>
            <w:tabs>
              <w:tab w:val="right" w:leader="middleDot" w:pos="9070"/>
            </w:tabs>
            <w:ind w:left="0" w:leftChars="0" w:firstLine="420"/>
            <w:rPr>
              <w:rFonts w:ascii="宋体" w:hAnsi="宋体" w:cs="宋体"/>
              <w:sz w:val="24"/>
            </w:rPr>
          </w:pPr>
          <w:r>
            <w:fldChar w:fldCharType="begin"/>
          </w:r>
          <w:r>
            <w:instrText xml:space="preserve"> HYPERLINK \l "_Toc12598" </w:instrText>
          </w:r>
          <w:r>
            <w:fldChar w:fldCharType="separate"/>
          </w:r>
          <w:r>
            <w:rPr>
              <w:rStyle w:val="33"/>
              <w:rFonts w:hint="eastAsia" w:ascii="宋体" w:hAnsi="宋体" w:cs="宋体"/>
              <w:sz w:val="24"/>
            </w:rPr>
            <w:t>3.</w:t>
          </w:r>
          <w:r>
            <w:rPr>
              <w:rStyle w:val="33"/>
              <w:rFonts w:ascii="宋体" w:hAnsi="宋体" w:cs="宋体"/>
              <w:sz w:val="24"/>
            </w:rPr>
            <w:t>6</w:t>
          </w:r>
          <w:r>
            <w:rPr>
              <w:rStyle w:val="33"/>
              <w:rFonts w:hint="eastAsia" w:ascii="宋体" w:hAnsi="宋体" w:cs="宋体"/>
              <w:sz w:val="24"/>
            </w:rPr>
            <w:t xml:space="preserve">  审查主体</w:t>
          </w:r>
          <w:r>
            <w:rPr>
              <w:rStyle w:val="33"/>
              <w:sz w:val="24"/>
            </w:rPr>
            <w:tab/>
          </w:r>
          <w:r>
            <w:rPr>
              <w:rStyle w:val="33"/>
              <w:rFonts w:hint="eastAsia" w:ascii="宋体" w:hAnsi="宋体" w:cs="宋体"/>
              <w:sz w:val="24"/>
            </w:rPr>
            <w:t>(</w:t>
          </w:r>
          <w:r>
            <w:rPr>
              <w:rStyle w:val="33"/>
              <w:rFonts w:hint="eastAsia" w:ascii="宋体" w:hAnsi="宋体" w:cs="宋体"/>
              <w:sz w:val="24"/>
              <w:vertAlign w:val="superscript"/>
            </w:rPr>
            <w:t xml:space="preserve"> </w:t>
          </w:r>
          <w:r>
            <w:rPr>
              <w:rStyle w:val="33"/>
              <w:rFonts w:ascii="宋体" w:hAnsi="宋体" w:cs="宋体"/>
              <w:sz w:val="24"/>
            </w:rPr>
            <w:t>2</w:t>
          </w:r>
          <w:r>
            <w:rPr>
              <w:rStyle w:val="33"/>
              <w:rFonts w:ascii="宋体" w:hAnsi="宋体" w:cs="宋体"/>
              <w:sz w:val="24"/>
            </w:rPr>
            <w:fldChar w:fldCharType="end"/>
          </w:r>
          <w:r>
            <w:rPr>
              <w:rFonts w:hint="eastAsia"/>
              <w:sz w:val="24"/>
              <w:vertAlign w:val="superscript"/>
            </w:rPr>
            <w:t xml:space="preserve"> </w:t>
          </w:r>
          <w:r>
            <w:rPr>
              <w:rFonts w:hint="eastAsia" w:ascii="宋体" w:hAnsi="宋体" w:cs="宋体"/>
              <w:sz w:val="24"/>
            </w:rPr>
            <w:t>)</w:t>
          </w:r>
        </w:p>
        <w:p w14:paraId="54BCB584">
          <w:pPr>
            <w:pStyle w:val="21"/>
            <w:tabs>
              <w:tab w:val="right" w:leader="middleDot" w:pos="9070"/>
            </w:tabs>
            <w:ind w:firstLine="420"/>
            <w:rPr>
              <w:rFonts w:ascii="宋体" w:hAnsi="宋体" w:cs="宋体"/>
              <w:sz w:val="24"/>
            </w:rPr>
          </w:pPr>
          <w:r>
            <w:fldChar w:fldCharType="begin"/>
          </w:r>
          <w:r>
            <w:instrText xml:space="preserve"> HYPERLINK \l "_Toc23376" </w:instrText>
          </w:r>
          <w:r>
            <w:fldChar w:fldCharType="separate"/>
          </w:r>
          <w:r>
            <w:rPr>
              <w:rStyle w:val="33"/>
              <w:rFonts w:hint="eastAsia" w:ascii="宋体" w:hAnsi="宋体" w:cs="宋体"/>
              <w:sz w:val="24"/>
            </w:rPr>
            <w:t>4  碳排放计量管理</w:t>
          </w:r>
          <w:r>
            <w:rPr>
              <w:rStyle w:val="33"/>
              <w:sz w:val="24"/>
            </w:rPr>
            <w:tab/>
          </w:r>
          <w:r>
            <w:rPr>
              <w:rStyle w:val="33"/>
              <w:rFonts w:hint="eastAsia" w:ascii="宋体" w:hAnsi="宋体" w:cs="宋体"/>
              <w:sz w:val="24"/>
            </w:rPr>
            <w:t>(</w:t>
          </w:r>
          <w:r>
            <w:rPr>
              <w:rStyle w:val="33"/>
              <w:rFonts w:hint="eastAsia" w:ascii="宋体" w:hAnsi="宋体" w:cs="宋体"/>
              <w:sz w:val="24"/>
              <w:vertAlign w:val="superscript"/>
            </w:rPr>
            <w:t xml:space="preserve"> </w:t>
          </w:r>
          <w:r>
            <w:rPr>
              <w:rStyle w:val="33"/>
              <w:rFonts w:ascii="宋体" w:hAnsi="宋体" w:cs="宋体"/>
              <w:sz w:val="24"/>
            </w:rPr>
            <w:t>2</w:t>
          </w:r>
          <w:r>
            <w:rPr>
              <w:rStyle w:val="33"/>
              <w:rFonts w:ascii="宋体" w:hAnsi="宋体" w:cs="宋体"/>
              <w:sz w:val="24"/>
            </w:rPr>
            <w:fldChar w:fldCharType="end"/>
          </w:r>
          <w:r>
            <w:rPr>
              <w:rFonts w:hint="eastAsia"/>
              <w:sz w:val="24"/>
              <w:vertAlign w:val="superscript"/>
            </w:rPr>
            <w:t xml:space="preserve"> </w:t>
          </w:r>
          <w:r>
            <w:rPr>
              <w:rFonts w:hint="eastAsia" w:ascii="宋体" w:hAnsi="宋体" w:cs="宋体"/>
              <w:sz w:val="24"/>
            </w:rPr>
            <w:t>)</w:t>
          </w:r>
        </w:p>
        <w:p w14:paraId="4D4994CA">
          <w:pPr>
            <w:pStyle w:val="24"/>
            <w:tabs>
              <w:tab w:val="right" w:leader="middleDot" w:pos="9070"/>
            </w:tabs>
            <w:ind w:left="0" w:leftChars="0" w:firstLine="420"/>
            <w:rPr>
              <w:rFonts w:ascii="宋体" w:hAnsi="宋体" w:cs="宋体"/>
              <w:sz w:val="24"/>
            </w:rPr>
          </w:pPr>
          <w:r>
            <w:fldChar w:fldCharType="begin"/>
          </w:r>
          <w:r>
            <w:instrText xml:space="preserve"> HYPERLINK \l "_Toc12598" </w:instrText>
          </w:r>
          <w:r>
            <w:fldChar w:fldCharType="separate"/>
          </w:r>
          <w:r>
            <w:rPr>
              <w:rStyle w:val="33"/>
              <w:rFonts w:ascii="宋体" w:hAnsi="宋体" w:cs="宋体"/>
              <w:sz w:val="24"/>
            </w:rPr>
            <w:t>4</w:t>
          </w:r>
          <w:r>
            <w:rPr>
              <w:rStyle w:val="33"/>
              <w:rFonts w:hint="eastAsia" w:ascii="宋体" w:hAnsi="宋体" w:cs="宋体"/>
              <w:sz w:val="24"/>
            </w:rPr>
            <w:t>.</w:t>
          </w:r>
          <w:r>
            <w:rPr>
              <w:rStyle w:val="33"/>
              <w:rFonts w:ascii="宋体" w:hAnsi="宋体" w:cs="宋体"/>
              <w:sz w:val="24"/>
            </w:rPr>
            <w:t>1</w:t>
          </w:r>
          <w:r>
            <w:rPr>
              <w:rStyle w:val="33"/>
              <w:rFonts w:hint="eastAsia" w:ascii="宋体" w:hAnsi="宋体" w:cs="宋体"/>
              <w:sz w:val="24"/>
            </w:rPr>
            <w:t xml:space="preserve">  总则</w:t>
          </w:r>
          <w:r>
            <w:rPr>
              <w:rStyle w:val="33"/>
              <w:sz w:val="24"/>
            </w:rPr>
            <w:tab/>
          </w:r>
          <w:r>
            <w:rPr>
              <w:rStyle w:val="33"/>
              <w:rFonts w:hint="eastAsia" w:ascii="宋体" w:hAnsi="宋体" w:cs="宋体"/>
              <w:sz w:val="24"/>
            </w:rPr>
            <w:t>(</w:t>
          </w:r>
          <w:r>
            <w:rPr>
              <w:rStyle w:val="33"/>
              <w:rFonts w:hint="eastAsia" w:ascii="宋体" w:hAnsi="宋体" w:cs="宋体"/>
              <w:sz w:val="24"/>
              <w:vertAlign w:val="superscript"/>
            </w:rPr>
            <w:t xml:space="preserve"> </w:t>
          </w:r>
          <w:r>
            <w:rPr>
              <w:rStyle w:val="33"/>
              <w:rFonts w:ascii="宋体" w:hAnsi="宋体" w:cs="宋体"/>
              <w:sz w:val="24"/>
            </w:rPr>
            <w:t>2</w:t>
          </w:r>
          <w:r>
            <w:rPr>
              <w:rStyle w:val="33"/>
              <w:rFonts w:ascii="宋体" w:hAnsi="宋体" w:cs="宋体"/>
              <w:sz w:val="24"/>
            </w:rPr>
            <w:fldChar w:fldCharType="end"/>
          </w:r>
          <w:r>
            <w:rPr>
              <w:rFonts w:hint="eastAsia"/>
              <w:sz w:val="24"/>
              <w:vertAlign w:val="superscript"/>
            </w:rPr>
            <w:t xml:space="preserve"> </w:t>
          </w:r>
          <w:r>
            <w:rPr>
              <w:rFonts w:hint="eastAsia" w:ascii="宋体" w:hAnsi="宋体" w:cs="宋体"/>
              <w:sz w:val="24"/>
            </w:rPr>
            <w:t>)</w:t>
          </w:r>
        </w:p>
        <w:p w14:paraId="2DC027EA">
          <w:pPr>
            <w:pStyle w:val="24"/>
            <w:tabs>
              <w:tab w:val="right" w:leader="middleDot" w:pos="9070"/>
            </w:tabs>
            <w:ind w:left="0" w:leftChars="0" w:firstLine="420"/>
            <w:rPr>
              <w:rFonts w:ascii="宋体" w:hAnsi="宋体" w:cs="宋体"/>
              <w:sz w:val="24"/>
            </w:rPr>
          </w:pPr>
          <w:r>
            <w:fldChar w:fldCharType="begin"/>
          </w:r>
          <w:r>
            <w:instrText xml:space="preserve"> HYPERLINK \l "_Toc12598" </w:instrText>
          </w:r>
          <w:r>
            <w:fldChar w:fldCharType="separate"/>
          </w:r>
          <w:r>
            <w:rPr>
              <w:rStyle w:val="33"/>
              <w:rFonts w:ascii="宋体" w:hAnsi="宋体" w:cs="宋体"/>
              <w:sz w:val="24"/>
            </w:rPr>
            <w:t>4</w:t>
          </w:r>
          <w:r>
            <w:rPr>
              <w:rStyle w:val="33"/>
              <w:rFonts w:hint="eastAsia" w:ascii="宋体" w:hAnsi="宋体" w:cs="宋体"/>
              <w:sz w:val="24"/>
            </w:rPr>
            <w:t>.</w:t>
          </w:r>
          <w:r>
            <w:rPr>
              <w:rStyle w:val="33"/>
              <w:rFonts w:ascii="宋体" w:hAnsi="宋体" w:cs="宋体"/>
              <w:sz w:val="24"/>
            </w:rPr>
            <w:t>2</w:t>
          </w:r>
          <w:r>
            <w:rPr>
              <w:rStyle w:val="33"/>
              <w:rFonts w:hint="eastAsia" w:ascii="宋体" w:hAnsi="宋体" w:cs="宋体"/>
              <w:sz w:val="24"/>
            </w:rPr>
            <w:t xml:space="preserve">  组织与管理</w:t>
          </w:r>
          <w:r>
            <w:rPr>
              <w:rStyle w:val="33"/>
              <w:sz w:val="24"/>
            </w:rPr>
            <w:tab/>
          </w:r>
          <w:r>
            <w:rPr>
              <w:rStyle w:val="33"/>
              <w:rFonts w:hint="eastAsia" w:ascii="宋体" w:hAnsi="宋体" w:cs="宋体"/>
              <w:sz w:val="24"/>
            </w:rPr>
            <w:t>(</w:t>
          </w:r>
          <w:r>
            <w:rPr>
              <w:rStyle w:val="33"/>
              <w:rFonts w:hint="eastAsia" w:ascii="宋体" w:hAnsi="宋体" w:cs="宋体"/>
              <w:sz w:val="24"/>
              <w:vertAlign w:val="superscript"/>
            </w:rPr>
            <w:t xml:space="preserve"> </w:t>
          </w:r>
          <w:r>
            <w:rPr>
              <w:rStyle w:val="33"/>
              <w:rFonts w:ascii="宋体" w:hAnsi="宋体" w:cs="宋体"/>
              <w:sz w:val="24"/>
            </w:rPr>
            <w:t>2</w:t>
          </w:r>
          <w:r>
            <w:rPr>
              <w:rStyle w:val="33"/>
              <w:rFonts w:ascii="宋体" w:hAnsi="宋体" w:cs="宋体"/>
              <w:sz w:val="24"/>
            </w:rPr>
            <w:fldChar w:fldCharType="end"/>
          </w:r>
          <w:r>
            <w:rPr>
              <w:rFonts w:hint="eastAsia"/>
              <w:sz w:val="24"/>
              <w:vertAlign w:val="superscript"/>
            </w:rPr>
            <w:t xml:space="preserve"> </w:t>
          </w:r>
          <w:r>
            <w:rPr>
              <w:rFonts w:hint="eastAsia" w:ascii="宋体" w:hAnsi="宋体" w:cs="宋体"/>
              <w:sz w:val="24"/>
            </w:rPr>
            <w:t>)</w:t>
          </w:r>
        </w:p>
        <w:p w14:paraId="472B1C67">
          <w:pPr>
            <w:pStyle w:val="24"/>
            <w:tabs>
              <w:tab w:val="right" w:leader="middleDot" w:pos="9070"/>
            </w:tabs>
            <w:ind w:left="0" w:leftChars="0" w:firstLine="420"/>
          </w:pPr>
          <w:r>
            <w:fldChar w:fldCharType="begin"/>
          </w:r>
          <w:r>
            <w:instrText xml:space="preserve"> HYPERLINK \l "_Toc12598" </w:instrText>
          </w:r>
          <w:r>
            <w:fldChar w:fldCharType="separate"/>
          </w:r>
          <w:r>
            <w:rPr>
              <w:rStyle w:val="33"/>
              <w:rFonts w:ascii="宋体" w:hAnsi="宋体" w:cs="宋体"/>
              <w:sz w:val="24"/>
            </w:rPr>
            <w:t>4</w:t>
          </w:r>
          <w:r>
            <w:rPr>
              <w:rStyle w:val="33"/>
              <w:rFonts w:hint="eastAsia" w:ascii="宋体" w:hAnsi="宋体" w:cs="宋体"/>
              <w:sz w:val="24"/>
            </w:rPr>
            <w:t>.</w:t>
          </w:r>
          <w:r>
            <w:rPr>
              <w:rStyle w:val="33"/>
              <w:rFonts w:ascii="宋体" w:hAnsi="宋体" w:cs="宋体"/>
              <w:sz w:val="24"/>
            </w:rPr>
            <w:t>3</w:t>
          </w:r>
          <w:r>
            <w:rPr>
              <w:rStyle w:val="33"/>
              <w:rFonts w:hint="eastAsia" w:ascii="宋体" w:hAnsi="宋体" w:cs="宋体"/>
              <w:sz w:val="24"/>
            </w:rPr>
            <w:t xml:space="preserve">  碳排放计量管理制度</w:t>
          </w:r>
          <w:r>
            <w:rPr>
              <w:rStyle w:val="33"/>
              <w:sz w:val="24"/>
            </w:rPr>
            <w:tab/>
          </w:r>
          <w:r>
            <w:rPr>
              <w:rStyle w:val="33"/>
              <w:rFonts w:hint="eastAsia" w:ascii="宋体" w:hAnsi="宋体" w:cs="宋体"/>
              <w:sz w:val="24"/>
            </w:rPr>
            <w:t>(</w:t>
          </w:r>
          <w:r>
            <w:rPr>
              <w:rStyle w:val="33"/>
              <w:rFonts w:hint="eastAsia" w:ascii="宋体" w:hAnsi="宋体" w:cs="宋体"/>
              <w:sz w:val="24"/>
              <w:vertAlign w:val="superscript"/>
            </w:rPr>
            <w:t xml:space="preserve"> </w:t>
          </w:r>
          <w:r>
            <w:rPr>
              <w:rStyle w:val="33"/>
              <w:rFonts w:ascii="宋体" w:hAnsi="宋体" w:cs="宋体"/>
              <w:sz w:val="24"/>
            </w:rPr>
            <w:t>2</w:t>
          </w:r>
          <w:r>
            <w:rPr>
              <w:rStyle w:val="33"/>
              <w:rFonts w:ascii="宋体" w:hAnsi="宋体" w:cs="宋体"/>
              <w:sz w:val="24"/>
            </w:rPr>
            <w:fldChar w:fldCharType="end"/>
          </w:r>
          <w:r>
            <w:rPr>
              <w:rFonts w:hint="eastAsia"/>
              <w:sz w:val="24"/>
              <w:vertAlign w:val="superscript"/>
            </w:rPr>
            <w:t xml:space="preserve"> </w:t>
          </w:r>
          <w:r>
            <w:rPr>
              <w:rFonts w:hint="eastAsia" w:ascii="宋体" w:hAnsi="宋体" w:cs="宋体"/>
              <w:sz w:val="24"/>
            </w:rPr>
            <w:t>)</w:t>
          </w:r>
        </w:p>
        <w:p w14:paraId="453BA323">
          <w:pPr>
            <w:pStyle w:val="21"/>
            <w:tabs>
              <w:tab w:val="right" w:leader="middleDot" w:pos="9070"/>
            </w:tabs>
            <w:ind w:firstLine="420"/>
            <w:rPr>
              <w:sz w:val="24"/>
            </w:rPr>
          </w:pPr>
          <w:r>
            <w:fldChar w:fldCharType="begin"/>
          </w:r>
          <w:r>
            <w:instrText xml:space="preserve"> HYPERLINK \l "_Toc19050" </w:instrText>
          </w:r>
          <w:r>
            <w:fldChar w:fldCharType="separate"/>
          </w:r>
          <w:r>
            <w:rPr>
              <w:rStyle w:val="33"/>
              <w:rFonts w:hint="eastAsia" w:ascii="宋体" w:hAnsi="宋体" w:cs="宋体"/>
              <w:sz w:val="24"/>
            </w:rPr>
            <w:t>5  碳排放计量人员</w:t>
          </w:r>
          <w:r>
            <w:rPr>
              <w:rStyle w:val="33"/>
              <w:sz w:val="24"/>
            </w:rPr>
            <w:tab/>
          </w:r>
          <w:r>
            <w:rPr>
              <w:rStyle w:val="33"/>
              <w:rFonts w:hint="eastAsia" w:ascii="宋体" w:hAnsi="宋体" w:cs="宋体"/>
              <w:sz w:val="24"/>
            </w:rPr>
            <w:t>(</w:t>
          </w:r>
          <w:r>
            <w:rPr>
              <w:rStyle w:val="33"/>
              <w:rFonts w:hint="eastAsia" w:ascii="宋体" w:hAnsi="宋体" w:cs="宋体"/>
              <w:sz w:val="24"/>
              <w:vertAlign w:val="superscript"/>
            </w:rPr>
            <w:t xml:space="preserve"> </w:t>
          </w:r>
          <w:r>
            <w:rPr>
              <w:rStyle w:val="33"/>
              <w:rFonts w:hint="eastAsia" w:ascii="宋体" w:hAnsi="宋体" w:cs="宋体"/>
              <w:sz w:val="24"/>
            </w:rPr>
            <w:fldChar w:fldCharType="begin"/>
          </w:r>
          <w:r>
            <w:rPr>
              <w:rStyle w:val="33"/>
              <w:rFonts w:hint="eastAsia" w:ascii="宋体" w:hAnsi="宋体" w:cs="宋体"/>
              <w:sz w:val="24"/>
            </w:rPr>
            <w:instrText xml:space="preserve"> PAGEREF _Toc19050 \h </w:instrText>
          </w:r>
          <w:r>
            <w:rPr>
              <w:rStyle w:val="33"/>
              <w:rFonts w:hint="eastAsia" w:ascii="宋体" w:hAnsi="宋体" w:cs="宋体"/>
              <w:sz w:val="24"/>
            </w:rPr>
            <w:fldChar w:fldCharType="separate"/>
          </w:r>
          <w:r>
            <w:rPr>
              <w:rStyle w:val="33"/>
              <w:rFonts w:ascii="宋体" w:hAnsi="宋体" w:cs="宋体"/>
              <w:sz w:val="24"/>
            </w:rPr>
            <w:t>2</w:t>
          </w:r>
          <w:r>
            <w:rPr>
              <w:rStyle w:val="33"/>
              <w:rFonts w:hint="eastAsia" w:ascii="宋体" w:hAnsi="宋体" w:cs="宋体"/>
              <w:sz w:val="24"/>
            </w:rPr>
            <w:fldChar w:fldCharType="end"/>
          </w:r>
          <w:r>
            <w:rPr>
              <w:rStyle w:val="33"/>
              <w:rFonts w:hint="eastAsia" w:ascii="宋体" w:hAnsi="宋体" w:cs="宋体"/>
              <w:sz w:val="24"/>
            </w:rPr>
            <w:fldChar w:fldCharType="end"/>
          </w:r>
          <w:r>
            <w:rPr>
              <w:rFonts w:hint="eastAsia"/>
              <w:sz w:val="24"/>
              <w:vertAlign w:val="superscript"/>
            </w:rPr>
            <w:t xml:space="preserve"> </w:t>
          </w:r>
          <w:r>
            <w:rPr>
              <w:rFonts w:hint="eastAsia" w:ascii="宋体" w:hAnsi="宋体" w:cs="宋体"/>
              <w:sz w:val="24"/>
            </w:rPr>
            <w:t>)</w:t>
          </w:r>
        </w:p>
        <w:p w14:paraId="0015ED8F">
          <w:pPr>
            <w:pStyle w:val="24"/>
            <w:tabs>
              <w:tab w:val="right" w:leader="middleDot" w:pos="9070"/>
            </w:tabs>
            <w:ind w:left="0" w:leftChars="0" w:firstLine="420"/>
            <w:rPr>
              <w:sz w:val="24"/>
            </w:rPr>
          </w:pPr>
          <w:r>
            <w:fldChar w:fldCharType="begin"/>
          </w:r>
          <w:r>
            <w:instrText xml:space="preserve"> HYPERLINK \l "_Toc12745" </w:instrText>
          </w:r>
          <w:r>
            <w:fldChar w:fldCharType="separate"/>
          </w:r>
          <w:r>
            <w:rPr>
              <w:rStyle w:val="33"/>
              <w:rFonts w:hint="eastAsia" w:ascii="宋体" w:hAnsi="宋体" w:cs="宋体"/>
              <w:sz w:val="24"/>
            </w:rPr>
            <w:t>5.1  碳排放计量人员配备</w:t>
          </w:r>
          <w:r>
            <w:rPr>
              <w:rStyle w:val="33"/>
              <w:sz w:val="24"/>
            </w:rPr>
            <w:tab/>
          </w:r>
          <w:r>
            <w:rPr>
              <w:rStyle w:val="33"/>
              <w:rFonts w:hint="eastAsia" w:ascii="宋体" w:hAnsi="宋体" w:cs="宋体"/>
              <w:sz w:val="24"/>
            </w:rPr>
            <w:t>(</w:t>
          </w:r>
          <w:r>
            <w:rPr>
              <w:rStyle w:val="33"/>
              <w:rFonts w:hint="eastAsia" w:ascii="宋体" w:hAnsi="宋体" w:cs="宋体"/>
              <w:sz w:val="24"/>
              <w:vertAlign w:val="superscript"/>
            </w:rPr>
            <w:t xml:space="preserve"> </w:t>
          </w:r>
          <w:r>
            <w:rPr>
              <w:rStyle w:val="33"/>
              <w:rFonts w:hint="eastAsia" w:ascii="宋体" w:hAnsi="宋体" w:cs="宋体"/>
              <w:sz w:val="24"/>
            </w:rPr>
            <w:fldChar w:fldCharType="begin"/>
          </w:r>
          <w:r>
            <w:rPr>
              <w:rStyle w:val="33"/>
              <w:rFonts w:hint="eastAsia" w:ascii="宋体" w:hAnsi="宋体" w:cs="宋体"/>
              <w:sz w:val="24"/>
            </w:rPr>
            <w:instrText xml:space="preserve"> PAGEREF _Toc12745 \h </w:instrText>
          </w:r>
          <w:r>
            <w:rPr>
              <w:rStyle w:val="33"/>
              <w:rFonts w:hint="eastAsia" w:ascii="宋体" w:hAnsi="宋体" w:cs="宋体"/>
              <w:sz w:val="24"/>
            </w:rPr>
            <w:fldChar w:fldCharType="separate"/>
          </w:r>
          <w:r>
            <w:rPr>
              <w:rStyle w:val="33"/>
              <w:rFonts w:ascii="宋体" w:hAnsi="宋体" w:cs="宋体"/>
              <w:sz w:val="24"/>
            </w:rPr>
            <w:t>2</w:t>
          </w:r>
          <w:r>
            <w:rPr>
              <w:rStyle w:val="33"/>
              <w:rFonts w:hint="eastAsia" w:ascii="宋体" w:hAnsi="宋体" w:cs="宋体"/>
              <w:sz w:val="24"/>
            </w:rPr>
            <w:fldChar w:fldCharType="end"/>
          </w:r>
          <w:r>
            <w:rPr>
              <w:rStyle w:val="33"/>
              <w:rFonts w:hint="eastAsia" w:ascii="宋体" w:hAnsi="宋体" w:cs="宋体"/>
              <w:sz w:val="24"/>
            </w:rPr>
            <w:fldChar w:fldCharType="end"/>
          </w:r>
          <w:r>
            <w:rPr>
              <w:rFonts w:hint="eastAsia"/>
              <w:sz w:val="24"/>
              <w:vertAlign w:val="superscript"/>
            </w:rPr>
            <w:t xml:space="preserve"> </w:t>
          </w:r>
          <w:r>
            <w:rPr>
              <w:rFonts w:hint="eastAsia" w:ascii="宋体" w:hAnsi="宋体" w:cs="宋体"/>
              <w:sz w:val="24"/>
            </w:rPr>
            <w:t>)</w:t>
          </w:r>
        </w:p>
        <w:p w14:paraId="67FD60F6">
          <w:pPr>
            <w:pStyle w:val="24"/>
            <w:tabs>
              <w:tab w:val="right" w:leader="middleDot" w:pos="9070"/>
            </w:tabs>
            <w:ind w:left="0" w:leftChars="0" w:firstLine="420"/>
            <w:rPr>
              <w:sz w:val="24"/>
            </w:rPr>
          </w:pPr>
          <w:r>
            <w:fldChar w:fldCharType="begin"/>
          </w:r>
          <w:r>
            <w:instrText xml:space="preserve"> HYPERLINK \l "_Toc27548" </w:instrText>
          </w:r>
          <w:r>
            <w:fldChar w:fldCharType="separate"/>
          </w:r>
          <w:r>
            <w:rPr>
              <w:rStyle w:val="33"/>
              <w:rFonts w:hint="eastAsia" w:ascii="宋体" w:hAnsi="宋体" w:cs="宋体"/>
              <w:sz w:val="24"/>
            </w:rPr>
            <w:t>5.2  人员培训和档案</w:t>
          </w:r>
          <w:r>
            <w:rPr>
              <w:rStyle w:val="33"/>
              <w:sz w:val="24"/>
            </w:rPr>
            <w:tab/>
          </w:r>
          <w:r>
            <w:rPr>
              <w:rStyle w:val="33"/>
              <w:rFonts w:hint="eastAsia" w:ascii="宋体" w:hAnsi="宋体" w:cs="宋体"/>
              <w:sz w:val="24"/>
            </w:rPr>
            <w:t>(</w:t>
          </w:r>
          <w:r>
            <w:rPr>
              <w:rStyle w:val="33"/>
              <w:rFonts w:hint="eastAsia" w:ascii="宋体" w:hAnsi="宋体" w:cs="宋体"/>
              <w:sz w:val="24"/>
              <w:vertAlign w:val="superscript"/>
            </w:rPr>
            <w:t xml:space="preserve"> </w:t>
          </w:r>
          <w:r>
            <w:rPr>
              <w:rStyle w:val="33"/>
              <w:rFonts w:ascii="宋体" w:hAnsi="宋体" w:cs="宋体"/>
              <w:sz w:val="24"/>
            </w:rPr>
            <w:t>2</w:t>
          </w:r>
          <w:r>
            <w:rPr>
              <w:rStyle w:val="33"/>
              <w:rFonts w:ascii="宋体" w:hAnsi="宋体" w:cs="宋体"/>
              <w:sz w:val="24"/>
            </w:rPr>
            <w:fldChar w:fldCharType="end"/>
          </w:r>
          <w:r>
            <w:rPr>
              <w:rFonts w:hint="eastAsia"/>
              <w:sz w:val="24"/>
              <w:vertAlign w:val="superscript"/>
            </w:rPr>
            <w:t xml:space="preserve"> </w:t>
          </w:r>
          <w:r>
            <w:rPr>
              <w:rFonts w:hint="eastAsia" w:ascii="宋体" w:hAnsi="宋体" w:cs="宋体"/>
              <w:sz w:val="24"/>
            </w:rPr>
            <w:t>)</w:t>
          </w:r>
        </w:p>
        <w:p w14:paraId="6927B02C">
          <w:pPr>
            <w:pStyle w:val="21"/>
            <w:tabs>
              <w:tab w:val="right" w:leader="middleDot" w:pos="9070"/>
            </w:tabs>
            <w:ind w:firstLine="420"/>
            <w:rPr>
              <w:sz w:val="24"/>
            </w:rPr>
          </w:pPr>
          <w:r>
            <w:fldChar w:fldCharType="begin"/>
          </w:r>
          <w:r>
            <w:instrText xml:space="preserve"> HYPERLINK \l "_Toc7899" </w:instrText>
          </w:r>
          <w:r>
            <w:fldChar w:fldCharType="separate"/>
          </w:r>
          <w:r>
            <w:rPr>
              <w:rStyle w:val="33"/>
              <w:rFonts w:hint="eastAsia" w:ascii="宋体" w:hAnsi="宋体" w:cs="宋体"/>
              <w:sz w:val="24"/>
            </w:rPr>
            <w:t>6  碳排放计量器具</w:t>
          </w:r>
          <w:r>
            <w:rPr>
              <w:rStyle w:val="33"/>
              <w:sz w:val="24"/>
            </w:rPr>
            <w:tab/>
          </w:r>
          <w:r>
            <w:rPr>
              <w:rStyle w:val="33"/>
              <w:rFonts w:hint="eastAsia" w:ascii="宋体" w:hAnsi="宋体" w:cs="宋体"/>
              <w:sz w:val="24"/>
            </w:rPr>
            <w:t>(</w:t>
          </w:r>
          <w:r>
            <w:rPr>
              <w:rStyle w:val="33"/>
              <w:rFonts w:hint="eastAsia" w:ascii="宋体" w:hAnsi="宋体" w:cs="宋体"/>
              <w:sz w:val="24"/>
              <w:vertAlign w:val="superscript"/>
            </w:rPr>
            <w:t xml:space="preserve"> </w:t>
          </w:r>
          <w:r>
            <w:rPr>
              <w:rStyle w:val="33"/>
              <w:rFonts w:hint="eastAsia" w:ascii="宋体" w:hAnsi="宋体" w:cs="宋体"/>
              <w:sz w:val="24"/>
            </w:rPr>
            <w:fldChar w:fldCharType="begin"/>
          </w:r>
          <w:r>
            <w:rPr>
              <w:rStyle w:val="33"/>
              <w:rFonts w:hint="eastAsia" w:ascii="宋体" w:hAnsi="宋体" w:cs="宋体"/>
              <w:sz w:val="24"/>
            </w:rPr>
            <w:instrText xml:space="preserve"> PAGEREF _Toc7899 \h </w:instrText>
          </w:r>
          <w:r>
            <w:rPr>
              <w:rStyle w:val="33"/>
              <w:rFonts w:hint="eastAsia" w:ascii="宋体" w:hAnsi="宋体" w:cs="宋体"/>
              <w:sz w:val="24"/>
            </w:rPr>
            <w:fldChar w:fldCharType="separate"/>
          </w:r>
          <w:r>
            <w:rPr>
              <w:rStyle w:val="33"/>
              <w:rFonts w:ascii="宋体" w:hAnsi="宋体" w:cs="宋体"/>
              <w:sz w:val="24"/>
            </w:rPr>
            <w:t>3</w:t>
          </w:r>
          <w:r>
            <w:rPr>
              <w:rStyle w:val="33"/>
              <w:rFonts w:hint="eastAsia" w:ascii="宋体" w:hAnsi="宋体" w:cs="宋体"/>
              <w:sz w:val="24"/>
            </w:rPr>
            <w:fldChar w:fldCharType="end"/>
          </w:r>
          <w:r>
            <w:rPr>
              <w:rStyle w:val="33"/>
              <w:rFonts w:hint="eastAsia" w:ascii="宋体" w:hAnsi="宋体" w:cs="宋体"/>
              <w:sz w:val="24"/>
            </w:rPr>
            <w:fldChar w:fldCharType="end"/>
          </w:r>
          <w:r>
            <w:rPr>
              <w:rFonts w:hint="eastAsia"/>
              <w:sz w:val="24"/>
              <w:vertAlign w:val="superscript"/>
            </w:rPr>
            <w:t xml:space="preserve"> </w:t>
          </w:r>
          <w:r>
            <w:rPr>
              <w:rFonts w:hint="eastAsia" w:ascii="宋体" w:hAnsi="宋体" w:cs="宋体"/>
              <w:sz w:val="24"/>
            </w:rPr>
            <w:t>)</w:t>
          </w:r>
        </w:p>
        <w:p w14:paraId="14398DC2">
          <w:pPr>
            <w:pStyle w:val="24"/>
            <w:tabs>
              <w:tab w:val="right" w:leader="middleDot" w:pos="9070"/>
            </w:tabs>
            <w:ind w:left="0" w:leftChars="0" w:firstLine="420"/>
            <w:rPr>
              <w:sz w:val="24"/>
            </w:rPr>
          </w:pPr>
          <w:r>
            <w:fldChar w:fldCharType="begin"/>
          </w:r>
          <w:r>
            <w:instrText xml:space="preserve"> HYPERLINK \l "_Toc17865" </w:instrText>
          </w:r>
          <w:r>
            <w:fldChar w:fldCharType="separate"/>
          </w:r>
          <w:r>
            <w:rPr>
              <w:rStyle w:val="33"/>
              <w:rFonts w:hint="eastAsia" w:ascii="宋体" w:hAnsi="宋体" w:cs="宋体"/>
              <w:sz w:val="24"/>
            </w:rPr>
            <w:t>6.1  碳排放计量器具配备</w:t>
          </w:r>
          <w:r>
            <w:rPr>
              <w:rStyle w:val="33"/>
              <w:sz w:val="24"/>
            </w:rPr>
            <w:tab/>
          </w:r>
          <w:r>
            <w:rPr>
              <w:rStyle w:val="33"/>
              <w:rFonts w:hint="eastAsia" w:ascii="宋体" w:hAnsi="宋体" w:cs="宋体"/>
              <w:sz w:val="24"/>
            </w:rPr>
            <w:t>(</w:t>
          </w:r>
          <w:r>
            <w:rPr>
              <w:rStyle w:val="33"/>
              <w:rFonts w:hint="eastAsia" w:ascii="宋体" w:hAnsi="宋体" w:cs="宋体"/>
              <w:sz w:val="24"/>
              <w:vertAlign w:val="superscript"/>
            </w:rPr>
            <w:t xml:space="preserve"> </w:t>
          </w:r>
          <w:r>
            <w:rPr>
              <w:rStyle w:val="33"/>
              <w:rFonts w:hint="eastAsia" w:ascii="宋体" w:hAnsi="宋体" w:cs="宋体"/>
              <w:sz w:val="24"/>
            </w:rPr>
            <w:fldChar w:fldCharType="begin"/>
          </w:r>
          <w:r>
            <w:rPr>
              <w:rStyle w:val="33"/>
              <w:rFonts w:hint="eastAsia" w:ascii="宋体" w:hAnsi="宋体" w:cs="宋体"/>
              <w:sz w:val="24"/>
            </w:rPr>
            <w:instrText xml:space="preserve"> PAGEREF _Toc17865 \h </w:instrText>
          </w:r>
          <w:r>
            <w:rPr>
              <w:rStyle w:val="33"/>
              <w:rFonts w:hint="eastAsia" w:ascii="宋体" w:hAnsi="宋体" w:cs="宋体"/>
              <w:sz w:val="24"/>
            </w:rPr>
            <w:fldChar w:fldCharType="separate"/>
          </w:r>
          <w:r>
            <w:rPr>
              <w:rStyle w:val="33"/>
              <w:rFonts w:ascii="宋体" w:hAnsi="宋体" w:cs="宋体"/>
              <w:sz w:val="24"/>
            </w:rPr>
            <w:t>3</w:t>
          </w:r>
          <w:r>
            <w:rPr>
              <w:rStyle w:val="33"/>
              <w:rFonts w:hint="eastAsia" w:ascii="宋体" w:hAnsi="宋体" w:cs="宋体"/>
              <w:sz w:val="24"/>
            </w:rPr>
            <w:fldChar w:fldCharType="end"/>
          </w:r>
          <w:r>
            <w:rPr>
              <w:rStyle w:val="33"/>
              <w:rFonts w:hint="eastAsia" w:ascii="宋体" w:hAnsi="宋体" w:cs="宋体"/>
              <w:sz w:val="24"/>
            </w:rPr>
            <w:fldChar w:fldCharType="end"/>
          </w:r>
          <w:r>
            <w:rPr>
              <w:rFonts w:hint="eastAsia"/>
              <w:sz w:val="24"/>
              <w:vertAlign w:val="superscript"/>
            </w:rPr>
            <w:t xml:space="preserve"> </w:t>
          </w:r>
          <w:r>
            <w:rPr>
              <w:rFonts w:hint="eastAsia" w:ascii="宋体" w:hAnsi="宋体" w:cs="宋体"/>
              <w:sz w:val="24"/>
            </w:rPr>
            <w:t>)</w:t>
          </w:r>
        </w:p>
        <w:p w14:paraId="6C61C48B">
          <w:pPr>
            <w:pStyle w:val="24"/>
            <w:tabs>
              <w:tab w:val="right" w:leader="middleDot" w:pos="9070"/>
            </w:tabs>
            <w:ind w:left="0" w:leftChars="0" w:firstLine="420"/>
            <w:rPr>
              <w:rFonts w:ascii="宋体" w:hAnsi="宋体" w:cs="宋体"/>
              <w:sz w:val="24"/>
            </w:rPr>
          </w:pPr>
          <w:r>
            <w:fldChar w:fldCharType="begin"/>
          </w:r>
          <w:r>
            <w:instrText xml:space="preserve"> HYPERLINK \l "_Toc30077" </w:instrText>
          </w:r>
          <w:r>
            <w:fldChar w:fldCharType="separate"/>
          </w:r>
          <w:r>
            <w:rPr>
              <w:rStyle w:val="33"/>
              <w:rFonts w:hint="eastAsia" w:ascii="宋体" w:hAnsi="宋体" w:cs="宋体"/>
              <w:sz w:val="24"/>
            </w:rPr>
            <w:t>6.2  碳排放计量器具管理</w:t>
          </w:r>
          <w:r>
            <w:rPr>
              <w:rStyle w:val="33"/>
              <w:sz w:val="24"/>
            </w:rPr>
            <w:tab/>
          </w:r>
          <w:r>
            <w:rPr>
              <w:rStyle w:val="33"/>
              <w:rFonts w:hint="eastAsia" w:ascii="宋体" w:hAnsi="宋体" w:cs="宋体"/>
              <w:sz w:val="24"/>
            </w:rPr>
            <w:t>(</w:t>
          </w:r>
          <w:r>
            <w:rPr>
              <w:rStyle w:val="33"/>
              <w:rFonts w:hint="eastAsia" w:ascii="宋体" w:hAnsi="宋体" w:cs="宋体"/>
              <w:sz w:val="24"/>
              <w:vertAlign w:val="superscript"/>
            </w:rPr>
            <w:t xml:space="preserve"> </w:t>
          </w:r>
          <w:r>
            <w:rPr>
              <w:rStyle w:val="33"/>
              <w:rFonts w:hint="eastAsia" w:ascii="宋体" w:hAnsi="宋体" w:cs="宋体"/>
              <w:sz w:val="24"/>
            </w:rPr>
            <w:fldChar w:fldCharType="begin"/>
          </w:r>
          <w:r>
            <w:rPr>
              <w:rStyle w:val="33"/>
              <w:rFonts w:hint="eastAsia" w:ascii="宋体" w:hAnsi="宋体" w:cs="宋体"/>
              <w:sz w:val="24"/>
            </w:rPr>
            <w:instrText xml:space="preserve"> PAGEREF _Toc30077 \h </w:instrText>
          </w:r>
          <w:r>
            <w:rPr>
              <w:rStyle w:val="33"/>
              <w:rFonts w:hint="eastAsia" w:ascii="宋体" w:hAnsi="宋体" w:cs="宋体"/>
              <w:sz w:val="24"/>
            </w:rPr>
            <w:fldChar w:fldCharType="separate"/>
          </w:r>
          <w:r>
            <w:rPr>
              <w:rStyle w:val="33"/>
              <w:rFonts w:ascii="宋体" w:hAnsi="宋体" w:cs="宋体"/>
              <w:sz w:val="24"/>
            </w:rPr>
            <w:t>3</w:t>
          </w:r>
          <w:r>
            <w:rPr>
              <w:rStyle w:val="33"/>
              <w:rFonts w:hint="eastAsia" w:ascii="宋体" w:hAnsi="宋体" w:cs="宋体"/>
              <w:sz w:val="24"/>
            </w:rPr>
            <w:fldChar w:fldCharType="end"/>
          </w:r>
          <w:r>
            <w:rPr>
              <w:rStyle w:val="33"/>
              <w:rFonts w:hint="eastAsia" w:ascii="宋体" w:hAnsi="宋体" w:cs="宋体"/>
              <w:sz w:val="24"/>
            </w:rPr>
            <w:fldChar w:fldCharType="end"/>
          </w:r>
          <w:r>
            <w:rPr>
              <w:rFonts w:hint="eastAsia"/>
              <w:sz w:val="24"/>
              <w:vertAlign w:val="superscript"/>
            </w:rPr>
            <w:t xml:space="preserve"> </w:t>
          </w:r>
          <w:r>
            <w:rPr>
              <w:rFonts w:hint="eastAsia" w:ascii="宋体" w:hAnsi="宋体" w:cs="宋体"/>
              <w:sz w:val="24"/>
            </w:rPr>
            <w:t>)</w:t>
          </w:r>
        </w:p>
        <w:p w14:paraId="1CA5371F">
          <w:pPr>
            <w:pStyle w:val="24"/>
            <w:tabs>
              <w:tab w:val="right" w:leader="middleDot" w:pos="9070"/>
            </w:tabs>
            <w:ind w:left="0" w:leftChars="0" w:firstLine="420"/>
          </w:pPr>
          <w:r>
            <w:fldChar w:fldCharType="begin"/>
          </w:r>
          <w:r>
            <w:instrText xml:space="preserve"> HYPERLINK \l "_Toc1154" </w:instrText>
          </w:r>
          <w:r>
            <w:fldChar w:fldCharType="separate"/>
          </w:r>
          <w:r>
            <w:rPr>
              <w:rStyle w:val="33"/>
              <w:rFonts w:ascii="宋体" w:hAnsi="宋体" w:cs="宋体"/>
              <w:sz w:val="24"/>
            </w:rPr>
            <w:t>6</w:t>
          </w:r>
          <w:r>
            <w:rPr>
              <w:rStyle w:val="33"/>
              <w:rFonts w:hint="eastAsia" w:ascii="宋体" w:hAnsi="宋体" w:cs="宋体"/>
              <w:sz w:val="24"/>
            </w:rPr>
            <w:t>.3  碳排放计量器具使用</w:t>
          </w:r>
          <w:r>
            <w:rPr>
              <w:rStyle w:val="33"/>
              <w:sz w:val="24"/>
            </w:rPr>
            <w:tab/>
          </w:r>
          <w:r>
            <w:rPr>
              <w:rStyle w:val="33"/>
              <w:rFonts w:hint="eastAsia" w:ascii="宋体" w:hAnsi="宋体" w:cs="宋体"/>
              <w:sz w:val="24"/>
            </w:rPr>
            <w:t>(</w:t>
          </w:r>
          <w:r>
            <w:rPr>
              <w:rStyle w:val="33"/>
              <w:rFonts w:hint="eastAsia" w:ascii="宋体" w:hAnsi="宋体" w:cs="宋体"/>
              <w:sz w:val="24"/>
              <w:vertAlign w:val="superscript"/>
            </w:rPr>
            <w:t xml:space="preserve"> </w:t>
          </w:r>
          <w:r>
            <w:rPr>
              <w:rStyle w:val="33"/>
              <w:rFonts w:ascii="宋体" w:hAnsi="宋体" w:cs="宋体"/>
              <w:sz w:val="24"/>
            </w:rPr>
            <w:t>3</w:t>
          </w:r>
          <w:r>
            <w:rPr>
              <w:rStyle w:val="33"/>
              <w:rFonts w:ascii="宋体" w:hAnsi="宋体" w:cs="宋体"/>
              <w:sz w:val="24"/>
            </w:rPr>
            <w:fldChar w:fldCharType="end"/>
          </w:r>
          <w:r>
            <w:rPr>
              <w:rFonts w:hint="eastAsia"/>
              <w:sz w:val="24"/>
              <w:vertAlign w:val="superscript"/>
            </w:rPr>
            <w:t xml:space="preserve"> </w:t>
          </w:r>
          <w:r>
            <w:rPr>
              <w:rFonts w:hint="eastAsia" w:ascii="宋体" w:hAnsi="宋体" w:cs="宋体"/>
              <w:sz w:val="24"/>
            </w:rPr>
            <w:t>)</w:t>
          </w:r>
        </w:p>
        <w:p w14:paraId="5ED2EF55">
          <w:pPr>
            <w:pStyle w:val="21"/>
            <w:tabs>
              <w:tab w:val="right" w:leader="middleDot" w:pos="9070"/>
            </w:tabs>
            <w:ind w:firstLine="420"/>
            <w:rPr>
              <w:sz w:val="24"/>
            </w:rPr>
          </w:pPr>
          <w:r>
            <w:fldChar w:fldCharType="begin"/>
          </w:r>
          <w:r>
            <w:instrText xml:space="preserve"> HYPERLINK \l "_Toc10140" </w:instrText>
          </w:r>
          <w:r>
            <w:fldChar w:fldCharType="separate"/>
          </w:r>
          <w:r>
            <w:rPr>
              <w:rStyle w:val="33"/>
              <w:rFonts w:hint="eastAsia" w:ascii="宋体" w:hAnsi="宋体" w:cs="宋体"/>
              <w:sz w:val="24"/>
            </w:rPr>
            <w:t>7  碳排放计量数据</w:t>
          </w:r>
          <w:r>
            <w:rPr>
              <w:rStyle w:val="33"/>
              <w:sz w:val="24"/>
            </w:rPr>
            <w:tab/>
          </w:r>
          <w:r>
            <w:rPr>
              <w:rStyle w:val="33"/>
              <w:rFonts w:hint="eastAsia" w:ascii="宋体" w:hAnsi="宋体" w:cs="宋体"/>
              <w:sz w:val="24"/>
            </w:rPr>
            <w:t>(</w:t>
          </w:r>
          <w:r>
            <w:rPr>
              <w:rStyle w:val="33"/>
              <w:rFonts w:hint="eastAsia" w:ascii="宋体" w:hAnsi="宋体" w:cs="宋体"/>
              <w:sz w:val="24"/>
              <w:vertAlign w:val="superscript"/>
            </w:rPr>
            <w:t xml:space="preserve"> </w:t>
          </w:r>
          <w:r>
            <w:rPr>
              <w:rStyle w:val="33"/>
              <w:rFonts w:ascii="宋体" w:hAnsi="宋体" w:cs="宋体"/>
              <w:sz w:val="24"/>
            </w:rPr>
            <w:t>3</w:t>
          </w:r>
          <w:r>
            <w:rPr>
              <w:rStyle w:val="33"/>
              <w:rFonts w:ascii="宋体" w:hAnsi="宋体" w:cs="宋体"/>
              <w:sz w:val="24"/>
            </w:rPr>
            <w:fldChar w:fldCharType="end"/>
          </w:r>
          <w:r>
            <w:rPr>
              <w:rFonts w:hint="eastAsia"/>
              <w:sz w:val="24"/>
              <w:vertAlign w:val="superscript"/>
            </w:rPr>
            <w:t xml:space="preserve"> </w:t>
          </w:r>
          <w:r>
            <w:rPr>
              <w:rFonts w:hint="eastAsia" w:ascii="宋体" w:hAnsi="宋体" w:cs="宋体"/>
              <w:sz w:val="24"/>
            </w:rPr>
            <w:t>)</w:t>
          </w:r>
        </w:p>
        <w:p w14:paraId="29486599">
          <w:pPr>
            <w:pStyle w:val="21"/>
            <w:tabs>
              <w:tab w:val="right" w:leader="middleDot" w:pos="9070"/>
            </w:tabs>
            <w:ind w:firstLine="420"/>
            <w:rPr>
              <w:sz w:val="24"/>
            </w:rPr>
          </w:pPr>
          <w:r>
            <w:fldChar w:fldCharType="begin"/>
          </w:r>
          <w:r>
            <w:instrText xml:space="preserve"> HYPERLINK \l "_Toc377" </w:instrText>
          </w:r>
          <w:r>
            <w:fldChar w:fldCharType="separate"/>
          </w:r>
          <w:r>
            <w:rPr>
              <w:rStyle w:val="33"/>
              <w:rFonts w:hint="eastAsia" w:ascii="宋体" w:hAnsi="宋体" w:cs="宋体"/>
              <w:sz w:val="24"/>
            </w:rPr>
            <w:t>7.1  碳排放计量数据获取</w:t>
          </w:r>
          <w:r>
            <w:rPr>
              <w:rStyle w:val="33"/>
              <w:sz w:val="24"/>
            </w:rPr>
            <w:tab/>
          </w:r>
          <w:r>
            <w:rPr>
              <w:rStyle w:val="33"/>
              <w:rFonts w:hint="eastAsia" w:ascii="宋体" w:hAnsi="宋体" w:cs="宋体"/>
              <w:sz w:val="24"/>
            </w:rPr>
            <w:t>(</w:t>
          </w:r>
          <w:r>
            <w:rPr>
              <w:rStyle w:val="33"/>
              <w:rFonts w:hint="eastAsia" w:ascii="宋体" w:hAnsi="宋体" w:cs="宋体"/>
              <w:sz w:val="24"/>
              <w:vertAlign w:val="superscript"/>
            </w:rPr>
            <w:t xml:space="preserve"> </w:t>
          </w:r>
          <w:r>
            <w:rPr>
              <w:rStyle w:val="33"/>
              <w:rFonts w:ascii="宋体" w:hAnsi="宋体" w:cs="宋体"/>
              <w:sz w:val="24"/>
            </w:rPr>
            <w:t>3</w:t>
          </w:r>
          <w:r>
            <w:rPr>
              <w:rStyle w:val="33"/>
              <w:rFonts w:ascii="宋体" w:hAnsi="宋体" w:cs="宋体"/>
              <w:sz w:val="24"/>
            </w:rPr>
            <w:fldChar w:fldCharType="end"/>
          </w:r>
          <w:r>
            <w:rPr>
              <w:rFonts w:hint="eastAsia"/>
              <w:sz w:val="24"/>
              <w:vertAlign w:val="superscript"/>
            </w:rPr>
            <w:t xml:space="preserve"> </w:t>
          </w:r>
          <w:r>
            <w:rPr>
              <w:rFonts w:hint="eastAsia" w:ascii="宋体" w:hAnsi="宋体" w:cs="宋体"/>
              <w:sz w:val="24"/>
            </w:rPr>
            <w:t>)</w:t>
          </w:r>
        </w:p>
        <w:p w14:paraId="584D9A15">
          <w:pPr>
            <w:pStyle w:val="24"/>
            <w:tabs>
              <w:tab w:val="right" w:leader="middleDot" w:pos="9070"/>
            </w:tabs>
            <w:ind w:left="0" w:leftChars="0" w:firstLine="420"/>
            <w:rPr>
              <w:sz w:val="24"/>
            </w:rPr>
          </w:pPr>
          <w:r>
            <w:fldChar w:fldCharType="begin"/>
          </w:r>
          <w:r>
            <w:instrText xml:space="preserve"> HYPERLINK \l "_Toc18272" </w:instrText>
          </w:r>
          <w:r>
            <w:fldChar w:fldCharType="separate"/>
          </w:r>
          <w:r>
            <w:rPr>
              <w:rStyle w:val="33"/>
              <w:rFonts w:hint="eastAsia" w:ascii="宋体" w:hAnsi="宋体" w:cs="宋体"/>
              <w:sz w:val="24"/>
            </w:rPr>
            <w:t>7.2  碳排放计量数据处理</w:t>
          </w:r>
          <w:r>
            <w:rPr>
              <w:rStyle w:val="33"/>
              <w:sz w:val="24"/>
            </w:rPr>
            <w:tab/>
          </w:r>
          <w:r>
            <w:rPr>
              <w:rStyle w:val="33"/>
              <w:rFonts w:hint="eastAsia" w:ascii="宋体" w:hAnsi="宋体" w:cs="宋体"/>
              <w:sz w:val="24"/>
            </w:rPr>
            <w:t>(</w:t>
          </w:r>
          <w:r>
            <w:rPr>
              <w:rStyle w:val="33"/>
              <w:rFonts w:hint="eastAsia" w:ascii="宋体" w:hAnsi="宋体" w:cs="宋体"/>
              <w:sz w:val="24"/>
              <w:vertAlign w:val="superscript"/>
            </w:rPr>
            <w:t xml:space="preserve"> </w:t>
          </w:r>
          <w:r>
            <w:rPr>
              <w:rStyle w:val="33"/>
              <w:rFonts w:ascii="宋体" w:hAnsi="宋体" w:cs="宋体"/>
              <w:sz w:val="24"/>
            </w:rPr>
            <w:t>4</w:t>
          </w:r>
          <w:r>
            <w:rPr>
              <w:rStyle w:val="33"/>
              <w:rFonts w:ascii="宋体" w:hAnsi="宋体" w:cs="宋体"/>
              <w:sz w:val="24"/>
            </w:rPr>
            <w:fldChar w:fldCharType="end"/>
          </w:r>
          <w:r>
            <w:rPr>
              <w:rFonts w:hint="eastAsia"/>
              <w:sz w:val="24"/>
              <w:vertAlign w:val="superscript"/>
            </w:rPr>
            <w:t xml:space="preserve"> </w:t>
          </w:r>
          <w:r>
            <w:rPr>
              <w:rFonts w:hint="eastAsia" w:ascii="宋体" w:hAnsi="宋体" w:cs="宋体"/>
              <w:sz w:val="24"/>
            </w:rPr>
            <w:t>)</w:t>
          </w:r>
        </w:p>
        <w:p w14:paraId="5DF0215C">
          <w:pPr>
            <w:pStyle w:val="24"/>
            <w:tabs>
              <w:tab w:val="right" w:leader="middleDot" w:pos="9070"/>
            </w:tabs>
            <w:ind w:left="0" w:leftChars="0" w:firstLine="420"/>
            <w:rPr>
              <w:sz w:val="24"/>
            </w:rPr>
          </w:pPr>
          <w:r>
            <w:fldChar w:fldCharType="begin"/>
          </w:r>
          <w:r>
            <w:instrText xml:space="preserve"> HYPERLINK \l "_Toc29611" </w:instrText>
          </w:r>
          <w:r>
            <w:fldChar w:fldCharType="separate"/>
          </w:r>
          <w:r>
            <w:rPr>
              <w:rStyle w:val="33"/>
              <w:rFonts w:hint="eastAsia" w:ascii="宋体" w:hAnsi="宋体" w:cs="宋体"/>
              <w:sz w:val="24"/>
            </w:rPr>
            <w:t>7.3  碳排放计量数据管理</w:t>
          </w:r>
          <w:r>
            <w:rPr>
              <w:rStyle w:val="33"/>
              <w:sz w:val="24"/>
            </w:rPr>
            <w:tab/>
          </w:r>
          <w:r>
            <w:rPr>
              <w:rStyle w:val="33"/>
              <w:rFonts w:hint="eastAsia" w:ascii="宋体" w:hAnsi="宋体" w:cs="宋体"/>
              <w:sz w:val="24"/>
            </w:rPr>
            <w:t>(</w:t>
          </w:r>
          <w:r>
            <w:rPr>
              <w:rStyle w:val="33"/>
              <w:rFonts w:hint="eastAsia" w:ascii="宋体" w:hAnsi="宋体" w:cs="宋体"/>
              <w:sz w:val="24"/>
              <w:vertAlign w:val="superscript"/>
            </w:rPr>
            <w:t xml:space="preserve"> </w:t>
          </w:r>
          <w:r>
            <w:rPr>
              <w:rStyle w:val="33"/>
              <w:rFonts w:ascii="宋体" w:hAnsi="宋体" w:cs="宋体"/>
              <w:sz w:val="24"/>
            </w:rPr>
            <w:t>4</w:t>
          </w:r>
          <w:r>
            <w:rPr>
              <w:rStyle w:val="33"/>
              <w:rFonts w:ascii="宋体" w:hAnsi="宋体" w:cs="宋体"/>
              <w:sz w:val="24"/>
            </w:rPr>
            <w:fldChar w:fldCharType="end"/>
          </w:r>
          <w:r>
            <w:rPr>
              <w:rFonts w:hint="eastAsia"/>
              <w:sz w:val="24"/>
              <w:vertAlign w:val="superscript"/>
            </w:rPr>
            <w:t xml:space="preserve"> </w:t>
          </w:r>
          <w:r>
            <w:rPr>
              <w:rFonts w:hint="eastAsia" w:ascii="宋体" w:hAnsi="宋体" w:cs="宋体"/>
              <w:sz w:val="24"/>
            </w:rPr>
            <w:t>)</w:t>
          </w:r>
        </w:p>
        <w:p w14:paraId="7D7B9A7B">
          <w:pPr>
            <w:pStyle w:val="24"/>
            <w:tabs>
              <w:tab w:val="right" w:leader="middleDot" w:pos="9070"/>
            </w:tabs>
            <w:ind w:left="0" w:leftChars="0" w:firstLine="420"/>
            <w:rPr>
              <w:sz w:val="24"/>
            </w:rPr>
          </w:pPr>
          <w:r>
            <w:fldChar w:fldCharType="begin"/>
          </w:r>
          <w:r>
            <w:instrText xml:space="preserve"> HYPERLINK \l "_Toc17172" </w:instrText>
          </w:r>
          <w:r>
            <w:fldChar w:fldCharType="separate"/>
          </w:r>
          <w:r>
            <w:rPr>
              <w:rStyle w:val="33"/>
              <w:rFonts w:hint="eastAsia" w:ascii="宋体" w:hAnsi="宋体" w:cs="宋体"/>
              <w:sz w:val="24"/>
            </w:rPr>
            <w:t>7.4  碳排放计量数据应用</w:t>
          </w:r>
          <w:r>
            <w:rPr>
              <w:rStyle w:val="33"/>
              <w:sz w:val="24"/>
            </w:rPr>
            <w:tab/>
          </w:r>
          <w:r>
            <w:rPr>
              <w:rStyle w:val="33"/>
              <w:rFonts w:hint="eastAsia" w:ascii="宋体" w:hAnsi="宋体" w:cs="宋体"/>
              <w:sz w:val="24"/>
            </w:rPr>
            <w:t>(</w:t>
          </w:r>
          <w:r>
            <w:rPr>
              <w:rStyle w:val="33"/>
              <w:rFonts w:hint="eastAsia" w:ascii="宋体" w:hAnsi="宋体" w:cs="宋体"/>
              <w:sz w:val="24"/>
              <w:vertAlign w:val="superscript"/>
            </w:rPr>
            <w:t xml:space="preserve"> </w:t>
          </w:r>
          <w:r>
            <w:rPr>
              <w:rStyle w:val="33"/>
              <w:rFonts w:ascii="宋体" w:hAnsi="宋体" w:cs="宋体"/>
              <w:sz w:val="24"/>
            </w:rPr>
            <w:t>4</w:t>
          </w:r>
          <w:r>
            <w:rPr>
              <w:rStyle w:val="33"/>
              <w:rFonts w:ascii="宋体" w:hAnsi="宋体" w:cs="宋体"/>
              <w:sz w:val="24"/>
            </w:rPr>
            <w:fldChar w:fldCharType="end"/>
          </w:r>
          <w:r>
            <w:rPr>
              <w:rFonts w:hint="eastAsia"/>
              <w:sz w:val="24"/>
              <w:vertAlign w:val="superscript"/>
            </w:rPr>
            <w:t xml:space="preserve"> </w:t>
          </w:r>
          <w:r>
            <w:rPr>
              <w:rFonts w:hint="eastAsia" w:ascii="宋体" w:hAnsi="宋体" w:cs="宋体"/>
              <w:sz w:val="24"/>
            </w:rPr>
            <w:t>)</w:t>
          </w:r>
        </w:p>
        <w:p w14:paraId="1A1D92ED">
          <w:pPr>
            <w:pStyle w:val="21"/>
            <w:tabs>
              <w:tab w:val="right" w:leader="middleDot" w:pos="9070"/>
            </w:tabs>
            <w:ind w:firstLine="420"/>
            <w:rPr>
              <w:rFonts w:ascii="宋体" w:hAnsi="宋体" w:cs="宋体"/>
              <w:sz w:val="24"/>
            </w:rPr>
          </w:pPr>
          <w:r>
            <w:fldChar w:fldCharType="begin"/>
          </w:r>
          <w:r>
            <w:instrText xml:space="preserve"> HYPERLINK \l "_Toc28597" </w:instrText>
          </w:r>
          <w:r>
            <w:fldChar w:fldCharType="separate"/>
          </w:r>
          <w:r>
            <w:rPr>
              <w:rStyle w:val="33"/>
              <w:rFonts w:hint="eastAsia" w:ascii="宋体" w:hAnsi="宋体" w:cs="宋体"/>
              <w:sz w:val="24"/>
            </w:rPr>
            <w:t>8  温室气体排放核查报告</w:t>
          </w:r>
          <w:r>
            <w:rPr>
              <w:rStyle w:val="33"/>
              <w:sz w:val="24"/>
            </w:rPr>
            <w:tab/>
          </w:r>
          <w:r>
            <w:rPr>
              <w:rStyle w:val="33"/>
              <w:rFonts w:hint="eastAsia" w:ascii="宋体" w:hAnsi="宋体" w:cs="宋体"/>
              <w:sz w:val="24"/>
            </w:rPr>
            <w:t>(</w:t>
          </w:r>
          <w:r>
            <w:rPr>
              <w:rStyle w:val="33"/>
              <w:rFonts w:hint="eastAsia" w:ascii="宋体" w:hAnsi="宋体" w:cs="宋体"/>
              <w:sz w:val="24"/>
              <w:vertAlign w:val="superscript"/>
            </w:rPr>
            <w:t xml:space="preserve"> </w:t>
          </w:r>
          <w:r>
            <w:rPr>
              <w:rStyle w:val="33"/>
              <w:rFonts w:ascii="宋体" w:hAnsi="宋体" w:cs="宋体"/>
              <w:sz w:val="24"/>
            </w:rPr>
            <w:t>4</w:t>
          </w:r>
          <w:r>
            <w:rPr>
              <w:rStyle w:val="33"/>
              <w:rFonts w:ascii="宋体" w:hAnsi="宋体" w:cs="宋体"/>
              <w:sz w:val="24"/>
            </w:rPr>
            <w:fldChar w:fldCharType="end"/>
          </w:r>
          <w:r>
            <w:rPr>
              <w:rFonts w:hint="eastAsia"/>
              <w:sz w:val="24"/>
              <w:vertAlign w:val="superscript"/>
            </w:rPr>
            <w:t xml:space="preserve"> </w:t>
          </w:r>
          <w:r>
            <w:rPr>
              <w:rFonts w:hint="eastAsia" w:ascii="宋体" w:hAnsi="宋体" w:cs="宋体"/>
              <w:sz w:val="24"/>
            </w:rPr>
            <w:t>)</w:t>
          </w:r>
        </w:p>
        <w:p w14:paraId="22754000">
          <w:pPr>
            <w:pStyle w:val="21"/>
            <w:tabs>
              <w:tab w:val="right" w:leader="middleDot" w:pos="9070"/>
            </w:tabs>
            <w:ind w:firstLine="420"/>
            <w:rPr>
              <w:sz w:val="24"/>
            </w:rPr>
          </w:pPr>
          <w:r>
            <w:fldChar w:fldCharType="begin"/>
          </w:r>
          <w:r>
            <w:instrText xml:space="preserve"> HYPERLINK \l "_Toc28597" </w:instrText>
          </w:r>
          <w:r>
            <w:fldChar w:fldCharType="separate"/>
          </w:r>
          <w:r>
            <w:rPr>
              <w:rStyle w:val="33"/>
              <w:rFonts w:ascii="宋体" w:hAnsi="宋体" w:cs="宋体"/>
              <w:sz w:val="24"/>
            </w:rPr>
            <w:t>9</w:t>
          </w:r>
          <w:r>
            <w:rPr>
              <w:rStyle w:val="33"/>
              <w:rFonts w:hint="eastAsia" w:ascii="宋体" w:hAnsi="宋体" w:cs="宋体"/>
              <w:sz w:val="24"/>
            </w:rPr>
            <w:t xml:space="preserve">  碳达峰计划</w:t>
          </w:r>
          <w:r>
            <w:rPr>
              <w:rStyle w:val="33"/>
              <w:sz w:val="24"/>
            </w:rPr>
            <w:tab/>
          </w:r>
          <w:r>
            <w:rPr>
              <w:rStyle w:val="33"/>
              <w:rFonts w:hint="eastAsia" w:ascii="宋体" w:hAnsi="宋体" w:cs="宋体"/>
              <w:sz w:val="24"/>
            </w:rPr>
            <w:t>(</w:t>
          </w:r>
          <w:r>
            <w:rPr>
              <w:rStyle w:val="33"/>
              <w:rFonts w:hint="eastAsia" w:ascii="宋体" w:hAnsi="宋体" w:cs="宋体"/>
              <w:sz w:val="24"/>
              <w:vertAlign w:val="superscript"/>
            </w:rPr>
            <w:t xml:space="preserve"> </w:t>
          </w:r>
          <w:r>
            <w:rPr>
              <w:rStyle w:val="33"/>
              <w:rFonts w:ascii="宋体" w:hAnsi="宋体" w:cs="宋体"/>
              <w:sz w:val="24"/>
            </w:rPr>
            <w:t>4</w:t>
          </w:r>
          <w:r>
            <w:rPr>
              <w:rStyle w:val="33"/>
              <w:rFonts w:ascii="宋体" w:hAnsi="宋体" w:cs="宋体"/>
              <w:sz w:val="24"/>
            </w:rPr>
            <w:fldChar w:fldCharType="end"/>
          </w:r>
          <w:r>
            <w:rPr>
              <w:rFonts w:hint="eastAsia"/>
              <w:sz w:val="24"/>
              <w:vertAlign w:val="superscript"/>
            </w:rPr>
            <w:t xml:space="preserve"> </w:t>
          </w:r>
          <w:r>
            <w:rPr>
              <w:rFonts w:hint="eastAsia" w:ascii="宋体" w:hAnsi="宋体" w:cs="宋体"/>
              <w:sz w:val="24"/>
            </w:rPr>
            <w:t>)</w:t>
          </w:r>
        </w:p>
        <w:p w14:paraId="4A5EE938">
          <w:pPr>
            <w:pStyle w:val="21"/>
            <w:tabs>
              <w:tab w:val="right" w:leader="middleDot" w:pos="9070"/>
            </w:tabs>
            <w:ind w:firstLine="420"/>
            <w:rPr>
              <w:sz w:val="24"/>
            </w:rPr>
          </w:pPr>
          <w:r>
            <w:fldChar w:fldCharType="begin"/>
          </w:r>
          <w:r>
            <w:instrText xml:space="preserve"> HYPERLINK \l "_Toc28597" </w:instrText>
          </w:r>
          <w:r>
            <w:fldChar w:fldCharType="separate"/>
          </w:r>
          <w:r>
            <w:rPr>
              <w:rStyle w:val="33"/>
              <w:rFonts w:ascii="宋体" w:hAnsi="宋体" w:cs="宋体"/>
              <w:sz w:val="24"/>
            </w:rPr>
            <w:t>10</w:t>
          </w:r>
          <w:r>
            <w:rPr>
              <w:rStyle w:val="33"/>
              <w:rFonts w:hint="eastAsia" w:ascii="宋体" w:hAnsi="宋体" w:cs="宋体"/>
              <w:sz w:val="24"/>
            </w:rPr>
            <w:t xml:space="preserve"> 碳排放计量审查</w:t>
          </w:r>
          <w:r>
            <w:rPr>
              <w:rStyle w:val="33"/>
              <w:sz w:val="24"/>
            </w:rPr>
            <w:tab/>
          </w:r>
          <w:r>
            <w:rPr>
              <w:rStyle w:val="33"/>
              <w:rFonts w:hint="eastAsia" w:ascii="宋体" w:hAnsi="宋体" w:cs="宋体"/>
              <w:sz w:val="24"/>
            </w:rPr>
            <w:t>(</w:t>
          </w:r>
          <w:r>
            <w:rPr>
              <w:rStyle w:val="33"/>
              <w:rFonts w:hint="eastAsia" w:ascii="宋体" w:hAnsi="宋体" w:cs="宋体"/>
              <w:sz w:val="24"/>
              <w:vertAlign w:val="superscript"/>
            </w:rPr>
            <w:t xml:space="preserve"> </w:t>
          </w:r>
          <w:r>
            <w:rPr>
              <w:rStyle w:val="33"/>
              <w:rFonts w:ascii="宋体" w:hAnsi="宋体" w:cs="宋体"/>
              <w:sz w:val="24"/>
            </w:rPr>
            <w:t>4</w:t>
          </w:r>
          <w:r>
            <w:rPr>
              <w:rStyle w:val="33"/>
              <w:rFonts w:ascii="宋体" w:hAnsi="宋体" w:cs="宋体"/>
              <w:sz w:val="24"/>
            </w:rPr>
            <w:fldChar w:fldCharType="end"/>
          </w:r>
          <w:r>
            <w:rPr>
              <w:rFonts w:hint="eastAsia"/>
              <w:sz w:val="24"/>
              <w:vertAlign w:val="superscript"/>
            </w:rPr>
            <w:t xml:space="preserve"> </w:t>
          </w:r>
          <w:r>
            <w:rPr>
              <w:rFonts w:hint="eastAsia" w:ascii="宋体" w:hAnsi="宋体" w:cs="宋体"/>
              <w:sz w:val="24"/>
            </w:rPr>
            <w:t>)</w:t>
          </w:r>
        </w:p>
        <w:p w14:paraId="7129D057">
          <w:pPr>
            <w:pStyle w:val="24"/>
            <w:tabs>
              <w:tab w:val="right" w:leader="middleDot" w:pos="9070"/>
            </w:tabs>
            <w:ind w:left="0" w:leftChars="0" w:firstLine="420"/>
            <w:rPr>
              <w:sz w:val="24"/>
            </w:rPr>
          </w:pPr>
          <w:r>
            <w:fldChar w:fldCharType="begin"/>
          </w:r>
          <w:r>
            <w:instrText xml:space="preserve"> HYPERLINK \l "_Toc5205" </w:instrText>
          </w:r>
          <w:r>
            <w:fldChar w:fldCharType="separate"/>
          </w:r>
          <w:r>
            <w:rPr>
              <w:rStyle w:val="33"/>
              <w:rFonts w:ascii="宋体" w:hAnsi="宋体" w:cs="宋体"/>
              <w:sz w:val="24"/>
            </w:rPr>
            <w:t>10</w:t>
          </w:r>
          <w:r>
            <w:rPr>
              <w:rStyle w:val="33"/>
              <w:rFonts w:hint="eastAsia" w:ascii="宋体" w:hAnsi="宋体" w:cs="宋体"/>
              <w:sz w:val="24"/>
            </w:rPr>
            <w:t>.1  审查原则</w:t>
          </w:r>
          <w:r>
            <w:rPr>
              <w:rStyle w:val="33"/>
              <w:sz w:val="24"/>
            </w:rPr>
            <w:tab/>
          </w:r>
          <w:r>
            <w:rPr>
              <w:rStyle w:val="33"/>
              <w:rFonts w:hint="eastAsia" w:ascii="宋体" w:hAnsi="宋体" w:cs="宋体"/>
              <w:sz w:val="24"/>
            </w:rPr>
            <w:t>(</w:t>
          </w:r>
          <w:r>
            <w:rPr>
              <w:rStyle w:val="33"/>
              <w:rFonts w:ascii="宋体" w:hAnsi="宋体" w:cs="宋体"/>
              <w:sz w:val="24"/>
            </w:rPr>
            <w:t>4</w:t>
          </w:r>
          <w:r>
            <w:rPr>
              <w:rStyle w:val="33"/>
              <w:rFonts w:ascii="宋体" w:hAnsi="宋体" w:cs="宋体"/>
              <w:sz w:val="24"/>
            </w:rPr>
            <w:fldChar w:fldCharType="end"/>
          </w:r>
          <w:r>
            <w:rPr>
              <w:rFonts w:hint="eastAsia"/>
              <w:sz w:val="24"/>
              <w:vertAlign w:val="superscript"/>
            </w:rPr>
            <w:t xml:space="preserve"> </w:t>
          </w:r>
          <w:r>
            <w:rPr>
              <w:rFonts w:hint="eastAsia" w:ascii="宋体" w:hAnsi="宋体" w:cs="宋体"/>
              <w:sz w:val="24"/>
            </w:rPr>
            <w:t>)</w:t>
          </w:r>
        </w:p>
        <w:p w14:paraId="249AEC87">
          <w:pPr>
            <w:pStyle w:val="24"/>
            <w:tabs>
              <w:tab w:val="right" w:leader="middleDot" w:pos="9070"/>
            </w:tabs>
            <w:ind w:left="0" w:leftChars="0" w:firstLine="420"/>
            <w:rPr>
              <w:sz w:val="24"/>
            </w:rPr>
          </w:pPr>
          <w:r>
            <w:fldChar w:fldCharType="begin"/>
          </w:r>
          <w:r>
            <w:instrText xml:space="preserve"> HYPERLINK \l "_Toc21932" </w:instrText>
          </w:r>
          <w:r>
            <w:fldChar w:fldCharType="separate"/>
          </w:r>
          <w:r>
            <w:rPr>
              <w:rStyle w:val="33"/>
              <w:rFonts w:ascii="宋体" w:hAnsi="宋体" w:cs="宋体"/>
              <w:sz w:val="24"/>
            </w:rPr>
            <w:t>10</w:t>
          </w:r>
          <w:r>
            <w:rPr>
              <w:rStyle w:val="33"/>
              <w:rFonts w:hint="eastAsia" w:ascii="宋体" w:hAnsi="宋体" w:cs="宋体"/>
              <w:sz w:val="24"/>
            </w:rPr>
            <w:t>.2  审查组织</w:t>
          </w:r>
          <w:r>
            <w:rPr>
              <w:rStyle w:val="33"/>
              <w:sz w:val="24"/>
            </w:rPr>
            <w:tab/>
          </w:r>
          <w:r>
            <w:rPr>
              <w:rStyle w:val="33"/>
              <w:rFonts w:hint="eastAsia" w:ascii="宋体" w:hAnsi="宋体" w:cs="宋体"/>
              <w:sz w:val="24"/>
            </w:rPr>
            <w:t>(</w:t>
          </w:r>
          <w:r>
            <w:rPr>
              <w:rStyle w:val="33"/>
              <w:rFonts w:hint="eastAsia" w:ascii="宋体" w:hAnsi="宋体" w:cs="宋体"/>
              <w:sz w:val="24"/>
              <w:vertAlign w:val="superscript"/>
            </w:rPr>
            <w:t xml:space="preserve"> </w:t>
          </w:r>
          <w:r>
            <w:rPr>
              <w:rStyle w:val="33"/>
              <w:rFonts w:ascii="宋体" w:hAnsi="宋体" w:cs="宋体"/>
              <w:sz w:val="24"/>
            </w:rPr>
            <w:t>5</w:t>
          </w:r>
          <w:r>
            <w:rPr>
              <w:rStyle w:val="33"/>
              <w:rFonts w:ascii="宋体" w:hAnsi="宋体" w:cs="宋体"/>
              <w:sz w:val="24"/>
            </w:rPr>
            <w:fldChar w:fldCharType="end"/>
          </w:r>
          <w:r>
            <w:rPr>
              <w:rFonts w:hint="eastAsia"/>
              <w:sz w:val="24"/>
              <w:vertAlign w:val="superscript"/>
            </w:rPr>
            <w:t xml:space="preserve"> </w:t>
          </w:r>
          <w:r>
            <w:rPr>
              <w:rFonts w:hint="eastAsia" w:ascii="宋体" w:hAnsi="宋体" w:cs="宋体"/>
              <w:sz w:val="24"/>
            </w:rPr>
            <w:t>)</w:t>
          </w:r>
        </w:p>
        <w:p w14:paraId="602D16BE">
          <w:pPr>
            <w:pStyle w:val="24"/>
            <w:tabs>
              <w:tab w:val="right" w:leader="middleDot" w:pos="9070"/>
            </w:tabs>
            <w:ind w:left="0" w:leftChars="0" w:firstLine="420"/>
            <w:rPr>
              <w:sz w:val="24"/>
            </w:rPr>
          </w:pPr>
          <w:r>
            <w:fldChar w:fldCharType="begin"/>
          </w:r>
          <w:r>
            <w:instrText xml:space="preserve"> HYPERLINK \l "_Toc20589" </w:instrText>
          </w:r>
          <w:r>
            <w:fldChar w:fldCharType="separate"/>
          </w:r>
          <w:r>
            <w:rPr>
              <w:rStyle w:val="33"/>
              <w:rFonts w:ascii="宋体" w:hAnsi="宋体" w:cs="宋体"/>
              <w:sz w:val="24"/>
            </w:rPr>
            <w:t>10</w:t>
          </w:r>
          <w:r>
            <w:rPr>
              <w:rStyle w:val="33"/>
              <w:rFonts w:hint="eastAsia" w:ascii="宋体" w:hAnsi="宋体" w:cs="宋体"/>
              <w:sz w:val="24"/>
            </w:rPr>
            <w:t>.3  审查方法</w:t>
          </w:r>
          <w:r>
            <w:rPr>
              <w:rStyle w:val="33"/>
              <w:sz w:val="24"/>
            </w:rPr>
            <w:tab/>
          </w:r>
          <w:r>
            <w:rPr>
              <w:rStyle w:val="33"/>
              <w:rFonts w:hint="eastAsia" w:ascii="宋体" w:hAnsi="宋体" w:cs="宋体"/>
              <w:sz w:val="24"/>
            </w:rPr>
            <w:t>(</w:t>
          </w:r>
          <w:r>
            <w:rPr>
              <w:rStyle w:val="33"/>
              <w:rFonts w:hint="eastAsia" w:ascii="宋体" w:hAnsi="宋体" w:cs="宋体"/>
              <w:sz w:val="24"/>
              <w:vertAlign w:val="superscript"/>
            </w:rPr>
            <w:t xml:space="preserve"> </w:t>
          </w:r>
          <w:r>
            <w:rPr>
              <w:rStyle w:val="33"/>
              <w:rFonts w:ascii="宋体" w:hAnsi="宋体" w:cs="宋体"/>
              <w:sz w:val="24"/>
            </w:rPr>
            <w:t>5</w:t>
          </w:r>
          <w:r>
            <w:rPr>
              <w:rStyle w:val="33"/>
              <w:rFonts w:ascii="宋体" w:hAnsi="宋体" w:cs="宋体"/>
              <w:sz w:val="24"/>
            </w:rPr>
            <w:fldChar w:fldCharType="end"/>
          </w:r>
          <w:r>
            <w:rPr>
              <w:rFonts w:hint="eastAsia"/>
              <w:sz w:val="24"/>
              <w:vertAlign w:val="superscript"/>
            </w:rPr>
            <w:t xml:space="preserve"> </w:t>
          </w:r>
          <w:r>
            <w:rPr>
              <w:rFonts w:hint="eastAsia" w:ascii="宋体" w:hAnsi="宋体" w:cs="宋体"/>
              <w:sz w:val="24"/>
            </w:rPr>
            <w:t>)</w:t>
          </w:r>
        </w:p>
        <w:p w14:paraId="18862F4B">
          <w:pPr>
            <w:pStyle w:val="24"/>
            <w:tabs>
              <w:tab w:val="right" w:leader="middleDot" w:pos="9070"/>
            </w:tabs>
            <w:ind w:left="0" w:leftChars="0" w:firstLine="420"/>
            <w:rPr>
              <w:sz w:val="24"/>
            </w:rPr>
          </w:pPr>
          <w:r>
            <w:fldChar w:fldCharType="end"/>
          </w:r>
          <w:r>
            <w:fldChar w:fldCharType="begin"/>
          </w:r>
          <w:r>
            <w:instrText xml:space="preserve"> HYPERLINK \l "_Toc20589" </w:instrText>
          </w:r>
          <w:r>
            <w:fldChar w:fldCharType="separate"/>
          </w:r>
          <w:r>
            <w:rPr>
              <w:rFonts w:ascii="宋体" w:hAnsi="宋体" w:cs="宋体"/>
              <w:sz w:val="24"/>
            </w:rPr>
            <w:t>10</w:t>
          </w:r>
          <w:r>
            <w:rPr>
              <w:rFonts w:hint="eastAsia" w:ascii="宋体" w:hAnsi="宋体" w:cs="宋体"/>
              <w:sz w:val="24"/>
            </w:rPr>
            <w:t>.</w:t>
          </w:r>
          <w:r>
            <w:rPr>
              <w:rFonts w:ascii="宋体" w:hAnsi="宋体" w:cs="宋体"/>
              <w:sz w:val="24"/>
            </w:rPr>
            <w:t>4</w:t>
          </w:r>
          <w:r>
            <w:rPr>
              <w:rFonts w:hint="eastAsia" w:ascii="宋体" w:hAnsi="宋体" w:cs="宋体"/>
              <w:sz w:val="24"/>
            </w:rPr>
            <w:t xml:space="preserve">  碳排放单位准备</w:t>
          </w:r>
          <w:r>
            <w:rPr>
              <w:sz w:val="24"/>
            </w:rPr>
            <w:tab/>
          </w:r>
          <w:r>
            <w:rPr>
              <w:rFonts w:hint="eastAsia" w:ascii="宋体" w:hAnsi="宋体" w:cs="宋体"/>
              <w:sz w:val="24"/>
            </w:rPr>
            <w:t>(</w:t>
          </w:r>
          <w:r>
            <w:rPr>
              <w:rFonts w:hint="eastAsia" w:ascii="宋体" w:hAnsi="宋体" w:cs="宋体"/>
              <w:sz w:val="24"/>
              <w:vertAlign w:val="superscript"/>
            </w:rPr>
            <w:t xml:space="preserve"> </w:t>
          </w:r>
          <w:r>
            <w:rPr>
              <w:rFonts w:ascii="宋体" w:hAnsi="宋体" w:cs="宋体"/>
              <w:sz w:val="24"/>
            </w:rPr>
            <w:t>5</w:t>
          </w:r>
          <w:r>
            <w:rPr>
              <w:rFonts w:ascii="宋体" w:hAnsi="宋体" w:cs="宋体"/>
              <w:sz w:val="24"/>
            </w:rPr>
            <w:fldChar w:fldCharType="end"/>
          </w:r>
          <w:r>
            <w:rPr>
              <w:rFonts w:hint="eastAsia"/>
              <w:sz w:val="24"/>
              <w:vertAlign w:val="superscript"/>
            </w:rPr>
            <w:t xml:space="preserve"> </w:t>
          </w:r>
          <w:r>
            <w:rPr>
              <w:rFonts w:hint="eastAsia" w:ascii="宋体" w:hAnsi="宋体" w:cs="宋体"/>
              <w:sz w:val="24"/>
            </w:rPr>
            <w:t>)</w:t>
          </w:r>
        </w:p>
        <w:p w14:paraId="530091C0">
          <w:pPr>
            <w:pStyle w:val="24"/>
            <w:tabs>
              <w:tab w:val="right" w:leader="middleDot" w:pos="9070"/>
            </w:tabs>
            <w:ind w:left="0" w:leftChars="0" w:firstLine="420"/>
            <w:rPr>
              <w:sz w:val="24"/>
            </w:rPr>
          </w:pPr>
          <w:r>
            <w:fldChar w:fldCharType="begin"/>
          </w:r>
          <w:r>
            <w:instrText xml:space="preserve"> HYPERLINK \l "_Toc20589" </w:instrText>
          </w:r>
          <w:r>
            <w:fldChar w:fldCharType="separate"/>
          </w:r>
          <w:r>
            <w:rPr>
              <w:rFonts w:ascii="宋体" w:hAnsi="宋体" w:cs="宋体"/>
              <w:sz w:val="24"/>
            </w:rPr>
            <w:t>10</w:t>
          </w:r>
          <w:r>
            <w:rPr>
              <w:rFonts w:hint="eastAsia" w:ascii="宋体" w:hAnsi="宋体" w:cs="宋体"/>
              <w:sz w:val="24"/>
            </w:rPr>
            <w:t>.</w:t>
          </w:r>
          <w:r>
            <w:rPr>
              <w:rFonts w:ascii="宋体" w:hAnsi="宋体" w:cs="宋体"/>
              <w:sz w:val="24"/>
            </w:rPr>
            <w:t>5</w:t>
          </w:r>
          <w:r>
            <w:rPr>
              <w:rFonts w:hint="eastAsia" w:ascii="宋体" w:hAnsi="宋体" w:cs="宋体"/>
              <w:sz w:val="24"/>
            </w:rPr>
            <w:t xml:space="preserve">  现场审查</w:t>
          </w:r>
          <w:r>
            <w:rPr>
              <w:sz w:val="24"/>
            </w:rPr>
            <w:tab/>
          </w:r>
          <w:r>
            <w:rPr>
              <w:rFonts w:hint="eastAsia" w:ascii="宋体" w:hAnsi="宋体" w:cs="宋体"/>
              <w:sz w:val="24"/>
            </w:rPr>
            <w:t>(</w:t>
          </w:r>
          <w:r>
            <w:rPr>
              <w:rFonts w:hint="eastAsia" w:ascii="宋体" w:hAnsi="宋体" w:cs="宋体"/>
              <w:sz w:val="24"/>
              <w:vertAlign w:val="superscript"/>
            </w:rPr>
            <w:t xml:space="preserve"> </w:t>
          </w:r>
          <w:r>
            <w:rPr>
              <w:rFonts w:ascii="宋体" w:hAnsi="宋体" w:cs="宋体"/>
              <w:sz w:val="24"/>
            </w:rPr>
            <w:t>5</w:t>
          </w:r>
          <w:r>
            <w:rPr>
              <w:rFonts w:ascii="宋体" w:hAnsi="宋体" w:cs="宋体"/>
              <w:sz w:val="24"/>
            </w:rPr>
            <w:fldChar w:fldCharType="end"/>
          </w:r>
          <w:r>
            <w:rPr>
              <w:rFonts w:hint="eastAsia"/>
              <w:sz w:val="24"/>
              <w:vertAlign w:val="superscript"/>
            </w:rPr>
            <w:t xml:space="preserve"> </w:t>
          </w:r>
          <w:r>
            <w:rPr>
              <w:rFonts w:hint="eastAsia" w:ascii="宋体" w:hAnsi="宋体" w:cs="宋体"/>
              <w:sz w:val="24"/>
            </w:rPr>
            <w:t>)</w:t>
          </w:r>
        </w:p>
        <w:p w14:paraId="7E5638CC">
          <w:pPr>
            <w:pStyle w:val="24"/>
            <w:tabs>
              <w:tab w:val="right" w:leader="middleDot" w:pos="9070"/>
            </w:tabs>
            <w:ind w:left="0" w:leftChars="0" w:firstLine="420"/>
            <w:rPr>
              <w:sz w:val="24"/>
            </w:rPr>
          </w:pPr>
          <w:r>
            <w:fldChar w:fldCharType="begin"/>
          </w:r>
          <w:r>
            <w:instrText xml:space="preserve"> HYPERLINK \l "_Toc20589" </w:instrText>
          </w:r>
          <w:r>
            <w:fldChar w:fldCharType="separate"/>
          </w:r>
          <w:r>
            <w:rPr>
              <w:rFonts w:ascii="宋体" w:hAnsi="宋体" w:cs="宋体"/>
              <w:sz w:val="24"/>
            </w:rPr>
            <w:t>10</w:t>
          </w:r>
          <w:r>
            <w:rPr>
              <w:rFonts w:hint="eastAsia" w:ascii="宋体" w:hAnsi="宋体" w:cs="宋体"/>
              <w:sz w:val="24"/>
            </w:rPr>
            <w:t>.</w:t>
          </w:r>
          <w:r>
            <w:rPr>
              <w:rFonts w:ascii="宋体" w:hAnsi="宋体" w:cs="宋体"/>
              <w:sz w:val="24"/>
            </w:rPr>
            <w:t>6</w:t>
          </w:r>
          <w:r>
            <w:rPr>
              <w:rFonts w:hint="eastAsia" w:ascii="宋体" w:hAnsi="宋体" w:cs="宋体"/>
              <w:sz w:val="24"/>
            </w:rPr>
            <w:t xml:space="preserve">  审查结果处理</w:t>
          </w:r>
          <w:r>
            <w:rPr>
              <w:sz w:val="24"/>
            </w:rPr>
            <w:tab/>
          </w:r>
          <w:r>
            <w:rPr>
              <w:rFonts w:hint="eastAsia" w:ascii="宋体" w:hAnsi="宋体" w:cs="宋体"/>
              <w:sz w:val="24"/>
            </w:rPr>
            <w:t>(</w:t>
          </w:r>
          <w:r>
            <w:rPr>
              <w:rFonts w:hint="eastAsia" w:ascii="宋体" w:hAnsi="宋体" w:cs="宋体"/>
              <w:sz w:val="24"/>
              <w:vertAlign w:val="superscript"/>
            </w:rPr>
            <w:t xml:space="preserve"> </w:t>
          </w:r>
          <w:r>
            <w:rPr>
              <w:rFonts w:ascii="宋体" w:hAnsi="宋体" w:cs="宋体"/>
              <w:sz w:val="24"/>
            </w:rPr>
            <w:t>6</w:t>
          </w:r>
          <w:r>
            <w:rPr>
              <w:rFonts w:ascii="宋体" w:hAnsi="宋体" w:cs="宋体"/>
              <w:sz w:val="24"/>
            </w:rPr>
            <w:fldChar w:fldCharType="end"/>
          </w:r>
          <w:r>
            <w:rPr>
              <w:rFonts w:hint="eastAsia"/>
              <w:sz w:val="24"/>
              <w:vertAlign w:val="superscript"/>
            </w:rPr>
            <w:t xml:space="preserve"> </w:t>
          </w:r>
          <w:r>
            <w:rPr>
              <w:rFonts w:hint="eastAsia" w:ascii="宋体" w:hAnsi="宋体" w:cs="宋体"/>
              <w:sz w:val="24"/>
            </w:rPr>
            <w:t>)</w:t>
          </w:r>
        </w:p>
        <w:p w14:paraId="57114A08">
          <w:pPr>
            <w:ind w:firstLine="420"/>
          </w:pPr>
        </w:p>
      </w:sdtContent>
    </w:sdt>
    <w:bookmarkEnd w:id="0"/>
    <w:bookmarkEnd w:id="1"/>
    <w:p w14:paraId="22948786">
      <w:pPr>
        <w:pStyle w:val="59"/>
      </w:pPr>
      <w:bookmarkStart w:id="2" w:name="_Toc353651447"/>
      <w:bookmarkStart w:id="3" w:name="_Toc339537049"/>
      <w:bookmarkStart w:id="4" w:name="_Toc350158457"/>
    </w:p>
    <w:p w14:paraId="404924C2">
      <w:pPr>
        <w:pStyle w:val="59"/>
      </w:pPr>
    </w:p>
    <w:p w14:paraId="392287D5">
      <w:pPr>
        <w:pStyle w:val="59"/>
      </w:pPr>
      <w:bookmarkStart w:id="5" w:name="_Toc6104"/>
      <w:bookmarkStart w:id="6" w:name="_Toc30193"/>
      <w:bookmarkStart w:id="7" w:name="_Toc18869"/>
      <w:bookmarkStart w:id="8" w:name="_Toc1685"/>
      <w:r>
        <w:rPr>
          <w:rFonts w:hint="eastAsia"/>
        </w:rPr>
        <w:t>引    言</w:t>
      </w:r>
      <w:bookmarkEnd w:id="2"/>
      <w:bookmarkEnd w:id="3"/>
      <w:bookmarkEnd w:id="4"/>
      <w:bookmarkEnd w:id="5"/>
      <w:bookmarkEnd w:id="6"/>
      <w:bookmarkEnd w:id="7"/>
      <w:bookmarkEnd w:id="8"/>
    </w:p>
    <w:p w14:paraId="73F2ABD3">
      <w:pPr>
        <w:pStyle w:val="14"/>
        <w:tabs>
          <w:tab w:val="left" w:pos="7875"/>
        </w:tabs>
        <w:spacing w:line="360" w:lineRule="auto"/>
        <w:ind w:firstLine="480" w:firstLineChars="200"/>
        <w:rPr>
          <w:rFonts w:hAnsi="宋体"/>
          <w:sz w:val="24"/>
          <w:szCs w:val="24"/>
        </w:rPr>
      </w:pPr>
      <w:r>
        <w:rPr>
          <w:rFonts w:hint="eastAsia" w:hAnsi="宋体"/>
          <w:sz w:val="24"/>
          <w:szCs w:val="24"/>
        </w:rPr>
        <w:t>为规范安徽省内重点碳排放单位计量审查工作，本规范以国家市场监管总局《建立健全碳达峰碳中和标准计量体系实施方案》（国市监计量发〔2022〕92 号）、国家市场监管总局、国家发展改革委和生态环境部《碳排放计量能力建设指导目录（2024版）》和 JJF 1001-2011《通用计量术语及定义》为基础和依据进行制定。</w:t>
      </w:r>
    </w:p>
    <w:p w14:paraId="690A6734">
      <w:pPr>
        <w:pStyle w:val="14"/>
        <w:tabs>
          <w:tab w:val="left" w:pos="7875"/>
        </w:tabs>
        <w:spacing w:line="360" w:lineRule="auto"/>
        <w:ind w:firstLine="480" w:firstLineChars="200"/>
        <w:rPr>
          <w:rFonts w:hAnsi="宋体"/>
          <w:sz w:val="24"/>
          <w:szCs w:val="24"/>
        </w:rPr>
      </w:pPr>
      <w:r>
        <w:rPr>
          <w:rFonts w:hint="eastAsia" w:hAnsi="宋体"/>
          <w:sz w:val="24"/>
          <w:szCs w:val="24"/>
        </w:rPr>
        <w:t>本规范为首次发布。</w:t>
      </w:r>
    </w:p>
    <w:p w14:paraId="301D4A9D">
      <w:pPr>
        <w:pStyle w:val="21"/>
        <w:tabs>
          <w:tab w:val="right" w:leader="dot" w:pos="9628"/>
        </w:tabs>
        <w:spacing w:line="280" w:lineRule="exact"/>
        <w:ind w:firstLine="420"/>
      </w:pPr>
    </w:p>
    <w:p w14:paraId="03A5462A">
      <w:pPr>
        <w:pStyle w:val="2"/>
        <w:ind w:firstLine="643"/>
      </w:pPr>
    </w:p>
    <w:p w14:paraId="07EB9BBD">
      <w:pPr>
        <w:pBdr>
          <w:bottom w:val="single" w:color="auto" w:sz="6" w:space="1"/>
        </w:pBdr>
        <w:jc w:val="center"/>
        <w:rPr>
          <w:sz w:val="24"/>
        </w:rPr>
        <w:sectPr>
          <w:headerReference r:id="rId5" w:type="default"/>
          <w:footerReference r:id="rId6" w:type="default"/>
          <w:pgSz w:w="11906" w:h="16838"/>
          <w:pgMar w:top="1440" w:right="1418" w:bottom="1440" w:left="1418" w:header="851" w:footer="992" w:gutter="0"/>
          <w:pgNumType w:fmt="upperRoman" w:start="1"/>
          <w:cols w:space="720" w:num="1"/>
          <w:docGrid w:type="linesAndChars" w:linePitch="312" w:charSpace="0"/>
        </w:sectPr>
      </w:pPr>
    </w:p>
    <w:p w14:paraId="31D552DD">
      <w:pPr>
        <w:kinsoku w:val="0"/>
        <w:overflowPunct w:val="0"/>
        <w:spacing w:before="190" w:line="360" w:lineRule="auto"/>
        <w:ind w:firstLine="2240" w:firstLineChars="700"/>
        <w:rPr>
          <w:rFonts w:ascii="黑体" w:hAnsi="Arial" w:eastAsia="黑体" w:cs="黑体"/>
          <w:sz w:val="32"/>
          <w:szCs w:val="32"/>
        </w:rPr>
      </w:pPr>
      <w:bookmarkStart w:id="9" w:name="_Toc1640"/>
      <w:bookmarkStart w:id="10" w:name="_Toc20848"/>
      <w:bookmarkStart w:id="11" w:name="_Toc15310"/>
      <w:bookmarkStart w:id="12" w:name="_Toc353651448"/>
      <w:bookmarkStart w:id="13" w:name="_Toc350158458"/>
      <w:bookmarkStart w:id="14" w:name="_Toc2633"/>
      <w:bookmarkStart w:id="15" w:name="_Toc353651450"/>
      <w:bookmarkStart w:id="16" w:name="_Toc350158460"/>
      <w:r>
        <w:rPr>
          <w:rFonts w:hint="eastAsia" w:ascii="黑体" w:hAnsi="Arial" w:eastAsia="黑体" w:cs="黑体"/>
          <w:sz w:val="32"/>
          <w:szCs w:val="32"/>
        </w:rPr>
        <w:t>重点排放单位碳排放计量审查规范</w:t>
      </w:r>
    </w:p>
    <w:p w14:paraId="07180A47">
      <w:pPr>
        <w:pStyle w:val="47"/>
      </w:pPr>
      <w:r>
        <w:rPr>
          <w:rFonts w:hint="eastAsia"/>
        </w:rPr>
        <w:t>1  范围</w:t>
      </w:r>
      <w:bookmarkEnd w:id="9"/>
      <w:bookmarkEnd w:id="10"/>
      <w:bookmarkEnd w:id="11"/>
      <w:bookmarkEnd w:id="12"/>
      <w:bookmarkEnd w:id="13"/>
      <w:bookmarkEnd w:id="14"/>
    </w:p>
    <w:p w14:paraId="0D105DDB">
      <w:pPr>
        <w:kinsoku w:val="0"/>
        <w:overflowPunct w:val="0"/>
        <w:spacing w:before="1" w:line="360" w:lineRule="auto"/>
        <w:ind w:left="115" w:right="225" w:firstLine="460"/>
        <w:rPr>
          <w:rFonts w:ascii="Arial" w:hAnsi="Arial"/>
          <w:spacing w:val="-5"/>
          <w:sz w:val="24"/>
          <w:szCs w:val="20"/>
        </w:rPr>
      </w:pPr>
      <w:bookmarkStart w:id="17" w:name="_Toc353651449"/>
      <w:bookmarkStart w:id="18" w:name="_Toc350158459"/>
      <w:r>
        <w:rPr>
          <w:rFonts w:hint="eastAsia" w:ascii="Arial" w:hAnsi="Arial"/>
          <w:spacing w:val="-5"/>
          <w:sz w:val="24"/>
          <w:szCs w:val="20"/>
        </w:rPr>
        <w:t>本规范规定了重点排放单位碳排放计量工作必须满足的要求，以及对重点排放单位碳排放计量审查的程序和方法。</w:t>
      </w:r>
    </w:p>
    <w:p w14:paraId="1FD33132">
      <w:pPr>
        <w:kinsoku w:val="0"/>
        <w:overflowPunct w:val="0"/>
        <w:spacing w:before="1" w:line="360" w:lineRule="auto"/>
        <w:ind w:left="115" w:right="225" w:firstLine="464"/>
        <w:rPr>
          <w:rFonts w:ascii="Arial" w:hAnsi="Arial"/>
          <w:spacing w:val="-4"/>
          <w:sz w:val="24"/>
          <w:szCs w:val="20"/>
        </w:rPr>
      </w:pPr>
      <w:r>
        <w:rPr>
          <w:rFonts w:hint="eastAsia" w:ascii="Arial" w:hAnsi="Arial"/>
          <w:spacing w:val="-4"/>
          <w:sz w:val="24"/>
          <w:szCs w:val="20"/>
        </w:rPr>
        <w:t>本规范适用于对重点排放单位碳排放计量工作的审查，非重点排放单位的审查可参照执行。</w:t>
      </w:r>
    </w:p>
    <w:p w14:paraId="6F47A0FE">
      <w:pPr>
        <w:pStyle w:val="47"/>
      </w:pPr>
      <w:bookmarkStart w:id="19" w:name="_Toc21710"/>
      <w:bookmarkStart w:id="20" w:name="_Toc29054"/>
      <w:bookmarkStart w:id="21" w:name="_Toc26459"/>
      <w:bookmarkStart w:id="22" w:name="_Toc1236"/>
      <w:r>
        <w:rPr>
          <w:rFonts w:hint="eastAsia"/>
        </w:rPr>
        <w:t>2  引用文件</w:t>
      </w:r>
      <w:bookmarkEnd w:id="17"/>
      <w:bookmarkEnd w:id="18"/>
      <w:bookmarkEnd w:id="19"/>
      <w:bookmarkEnd w:id="20"/>
      <w:bookmarkEnd w:id="21"/>
      <w:bookmarkEnd w:id="22"/>
    </w:p>
    <w:p w14:paraId="25D1B56B">
      <w:pPr>
        <w:kinsoku w:val="0"/>
        <w:overflowPunct w:val="0"/>
        <w:spacing w:before="1" w:line="360" w:lineRule="auto"/>
        <w:ind w:left="115" w:right="225" w:firstLine="460"/>
        <w:rPr>
          <w:rFonts w:ascii="Arial" w:hAnsi="Arial"/>
          <w:spacing w:val="-5"/>
          <w:sz w:val="24"/>
          <w:szCs w:val="20"/>
        </w:rPr>
      </w:pPr>
      <w:bookmarkStart w:id="23" w:name="_Toc4518"/>
      <w:bookmarkStart w:id="24" w:name="_Toc9729"/>
      <w:bookmarkStart w:id="25" w:name="_Toc25970"/>
      <w:bookmarkStart w:id="26" w:name="_Toc8615"/>
      <w:r>
        <w:rPr>
          <w:rFonts w:hint="eastAsia" w:ascii="Arial" w:hAnsi="Arial"/>
          <w:spacing w:val="-5"/>
          <w:sz w:val="24"/>
          <w:szCs w:val="20"/>
        </w:rPr>
        <w:t>本规范引用了下列文件:</w:t>
      </w:r>
    </w:p>
    <w:p w14:paraId="4D033CE5">
      <w:pPr>
        <w:kinsoku w:val="0"/>
        <w:overflowPunct w:val="0"/>
        <w:spacing w:before="1" w:line="360" w:lineRule="auto"/>
        <w:ind w:left="115" w:right="225" w:firstLine="460"/>
        <w:rPr>
          <w:rFonts w:ascii="Arial" w:hAnsi="Arial"/>
          <w:spacing w:val="-5"/>
          <w:sz w:val="24"/>
          <w:szCs w:val="20"/>
        </w:rPr>
      </w:pPr>
      <w:r>
        <w:rPr>
          <w:rFonts w:hint="eastAsia" w:ascii="Arial" w:hAnsi="Arial"/>
          <w:spacing w:val="-5"/>
          <w:sz w:val="24"/>
          <w:szCs w:val="20"/>
        </w:rPr>
        <w:t>JJF 1001-2011</w:t>
      </w:r>
      <w:r>
        <w:rPr>
          <w:rFonts w:ascii="Arial" w:hAnsi="Arial"/>
          <w:spacing w:val="-5"/>
          <w:sz w:val="24"/>
          <w:szCs w:val="20"/>
        </w:rPr>
        <w:t xml:space="preserve">  </w:t>
      </w:r>
      <w:r>
        <w:rPr>
          <w:rFonts w:hint="eastAsia" w:ascii="Arial" w:hAnsi="Arial"/>
          <w:spacing w:val="-5"/>
          <w:sz w:val="24"/>
          <w:szCs w:val="20"/>
        </w:rPr>
        <w:t>通用计量术语与定义</w:t>
      </w:r>
    </w:p>
    <w:p w14:paraId="1654DF28">
      <w:pPr>
        <w:kinsoku w:val="0"/>
        <w:overflowPunct w:val="0"/>
        <w:spacing w:before="1" w:line="360" w:lineRule="auto"/>
        <w:ind w:left="115" w:right="225" w:firstLine="460"/>
        <w:rPr>
          <w:rFonts w:ascii="Arial" w:hAnsi="Arial"/>
          <w:spacing w:val="-5"/>
          <w:sz w:val="24"/>
          <w:szCs w:val="20"/>
        </w:rPr>
      </w:pPr>
      <w:r>
        <w:rPr>
          <w:rFonts w:hint="eastAsia" w:ascii="Arial" w:hAnsi="Arial"/>
          <w:spacing w:val="-5"/>
          <w:sz w:val="24"/>
          <w:szCs w:val="20"/>
        </w:rPr>
        <w:t>JJF 1356-2012</w:t>
      </w:r>
      <w:r>
        <w:rPr>
          <w:rFonts w:ascii="Arial" w:hAnsi="Arial"/>
          <w:spacing w:val="-5"/>
          <w:sz w:val="24"/>
          <w:szCs w:val="20"/>
        </w:rPr>
        <w:t xml:space="preserve">  </w:t>
      </w:r>
      <w:r>
        <w:rPr>
          <w:rFonts w:hint="eastAsia" w:ascii="Arial" w:hAnsi="Arial"/>
          <w:spacing w:val="-5"/>
          <w:sz w:val="24"/>
          <w:szCs w:val="20"/>
        </w:rPr>
        <w:t>重点用能单位能源计量审查规范</w:t>
      </w:r>
    </w:p>
    <w:p w14:paraId="722C1915">
      <w:pPr>
        <w:kinsoku w:val="0"/>
        <w:overflowPunct w:val="0"/>
        <w:spacing w:before="1" w:line="360" w:lineRule="auto"/>
        <w:ind w:left="115" w:right="225" w:firstLine="460"/>
        <w:rPr>
          <w:rFonts w:ascii="Arial" w:hAnsi="Arial"/>
          <w:spacing w:val="-5"/>
          <w:sz w:val="24"/>
          <w:szCs w:val="20"/>
        </w:rPr>
      </w:pPr>
      <w:r>
        <w:rPr>
          <w:rFonts w:ascii="Arial" w:hAnsi="Arial"/>
          <w:spacing w:val="-5"/>
          <w:sz w:val="24"/>
          <w:szCs w:val="20"/>
        </w:rPr>
        <w:t>GB 17167</w:t>
      </w:r>
      <w:r>
        <w:rPr>
          <w:rFonts w:ascii="Arial" w:hAnsi="Arial"/>
          <w:spacing w:val="-5"/>
          <w:sz w:val="24"/>
          <w:szCs w:val="20"/>
        </w:rPr>
        <w:tab/>
      </w:r>
      <w:r>
        <w:rPr>
          <w:rFonts w:ascii="Arial" w:hAnsi="Arial"/>
          <w:spacing w:val="-5"/>
          <w:sz w:val="24"/>
          <w:szCs w:val="20"/>
        </w:rPr>
        <w:t xml:space="preserve">  </w:t>
      </w:r>
      <w:r>
        <w:rPr>
          <w:rFonts w:hint="eastAsia" w:ascii="Arial" w:hAnsi="Arial"/>
          <w:spacing w:val="-5"/>
          <w:sz w:val="24"/>
          <w:szCs w:val="20"/>
        </w:rPr>
        <w:t>用能单位能源计量器具配备和管理通则</w:t>
      </w:r>
    </w:p>
    <w:p w14:paraId="13957756">
      <w:pPr>
        <w:kinsoku w:val="0"/>
        <w:overflowPunct w:val="0"/>
        <w:spacing w:before="1" w:line="360" w:lineRule="auto"/>
        <w:ind w:left="115" w:right="225" w:firstLine="460"/>
        <w:rPr>
          <w:rFonts w:ascii="Arial" w:hAnsi="Arial"/>
          <w:spacing w:val="-5"/>
          <w:sz w:val="24"/>
          <w:szCs w:val="20"/>
        </w:rPr>
      </w:pPr>
      <w:r>
        <w:rPr>
          <w:rFonts w:ascii="Arial" w:hAnsi="Arial"/>
          <w:spacing w:val="-5"/>
          <w:sz w:val="24"/>
          <w:szCs w:val="20"/>
        </w:rPr>
        <w:t xml:space="preserve">GB/T 32150  </w:t>
      </w:r>
      <w:r>
        <w:rPr>
          <w:rFonts w:hint="eastAsia" w:ascii="Arial" w:hAnsi="Arial"/>
          <w:spacing w:val="-5"/>
          <w:sz w:val="24"/>
          <w:szCs w:val="20"/>
        </w:rPr>
        <w:t>工业企业温室气体排放核算和报告通则</w:t>
      </w:r>
    </w:p>
    <w:p w14:paraId="48F82798">
      <w:pPr>
        <w:kinsoku w:val="0"/>
        <w:overflowPunct w:val="0"/>
        <w:spacing w:before="1" w:line="360" w:lineRule="auto"/>
        <w:ind w:right="225" w:firstLine="460" w:firstLineChars="200"/>
        <w:rPr>
          <w:rFonts w:ascii="Arial" w:hAnsi="Arial"/>
          <w:spacing w:val="-5"/>
          <w:sz w:val="24"/>
          <w:szCs w:val="20"/>
        </w:rPr>
      </w:pPr>
      <w:r>
        <w:rPr>
          <w:rFonts w:hint="eastAsia" w:ascii="Arial" w:hAnsi="Arial"/>
          <w:spacing w:val="-5"/>
          <w:sz w:val="24"/>
          <w:szCs w:val="20"/>
        </w:rPr>
        <w:t xml:space="preserve"> 国家市场监管总局《建立健全碳达峰碳中和标准计量体系实施方案》</w:t>
      </w:r>
    </w:p>
    <w:p w14:paraId="2EECB398">
      <w:pPr>
        <w:kinsoku w:val="0"/>
        <w:overflowPunct w:val="0"/>
        <w:spacing w:before="1" w:line="360" w:lineRule="auto"/>
        <w:ind w:left="115" w:right="225" w:firstLine="460"/>
        <w:rPr>
          <w:rFonts w:ascii="Arial" w:hAnsi="Arial"/>
          <w:spacing w:val="-5"/>
          <w:sz w:val="24"/>
          <w:szCs w:val="20"/>
        </w:rPr>
      </w:pPr>
      <w:r>
        <w:rPr>
          <w:rFonts w:hint="eastAsia" w:ascii="Arial" w:hAnsi="Arial"/>
          <w:spacing w:val="-5"/>
          <w:sz w:val="24"/>
          <w:szCs w:val="20"/>
        </w:rPr>
        <w:t>国家市场监管总局、国家发展改革委和生态环境部《碳排放计量能力建设指导目录（2024版）》</w:t>
      </w:r>
    </w:p>
    <w:p w14:paraId="0D6E17C6">
      <w:pPr>
        <w:kinsoku w:val="0"/>
        <w:overflowPunct w:val="0"/>
        <w:spacing w:before="1" w:line="360" w:lineRule="auto"/>
        <w:ind w:left="115" w:right="225" w:firstLine="460"/>
        <w:rPr>
          <w:rFonts w:ascii="Arial" w:hAnsi="Arial"/>
          <w:spacing w:val="-5"/>
          <w:sz w:val="24"/>
          <w:szCs w:val="20"/>
        </w:rPr>
      </w:pPr>
      <w:r>
        <w:rPr>
          <w:rFonts w:ascii="Arial" w:hAnsi="Arial"/>
          <w:spacing w:val="-5"/>
          <w:sz w:val="24"/>
          <w:szCs w:val="20"/>
        </w:rPr>
        <w:t>凡是注日期的引用文件, 仅注日期的版本适用于本规范; 凡是不注日期的引用文件, 其最新版本 (包括所有的修改单) 适用于本规范。</w:t>
      </w:r>
    </w:p>
    <w:p w14:paraId="78755D0B">
      <w:pPr>
        <w:pStyle w:val="47"/>
      </w:pPr>
      <w:r>
        <w:rPr>
          <w:rFonts w:hint="eastAsia"/>
        </w:rPr>
        <w:t>3  术语</w:t>
      </w:r>
      <w:bookmarkEnd w:id="23"/>
      <w:bookmarkEnd w:id="24"/>
      <w:bookmarkEnd w:id="25"/>
      <w:bookmarkEnd w:id="26"/>
      <w:r>
        <w:rPr>
          <w:rFonts w:hint="eastAsia"/>
        </w:rPr>
        <w:t>和</w:t>
      </w:r>
      <w:r>
        <w:t>定义</w:t>
      </w:r>
    </w:p>
    <w:p w14:paraId="4B0ACF7B">
      <w:pPr>
        <w:tabs>
          <w:tab w:val="left" w:pos="3880"/>
        </w:tabs>
        <w:autoSpaceDE w:val="0"/>
        <w:autoSpaceDN w:val="0"/>
        <w:adjustRightInd w:val="0"/>
        <w:spacing w:line="360" w:lineRule="auto"/>
        <w:ind w:right="-23"/>
        <w:jc w:val="left"/>
        <w:outlineLvl w:val="1"/>
        <w:rPr>
          <w:rFonts w:ascii="宋体" w:hAnsi="宋体"/>
          <w:sz w:val="24"/>
        </w:rPr>
      </w:pPr>
      <w:bookmarkStart w:id="27" w:name="_Toc10336"/>
      <w:bookmarkStart w:id="28" w:name="_Toc462"/>
      <w:bookmarkStart w:id="29" w:name="_Toc32560"/>
      <w:bookmarkStart w:id="30" w:name="_Toc16403"/>
      <w:r>
        <w:rPr>
          <w:rFonts w:hint="eastAsia" w:ascii="宋体" w:hAnsi="宋体"/>
          <w:sz w:val="24"/>
        </w:rPr>
        <w:t>3.1</w:t>
      </w:r>
      <w:bookmarkEnd w:id="27"/>
      <w:bookmarkEnd w:id="28"/>
      <w:bookmarkEnd w:id="29"/>
      <w:bookmarkEnd w:id="30"/>
      <w:r>
        <w:rPr>
          <w:rFonts w:ascii="宋体" w:hAnsi="宋体"/>
          <w:sz w:val="24"/>
        </w:rPr>
        <w:t xml:space="preserve">  </w:t>
      </w:r>
      <w:r>
        <w:rPr>
          <w:rFonts w:hint="eastAsia" w:ascii="宋体" w:hAnsi="宋体"/>
          <w:sz w:val="24"/>
        </w:rPr>
        <w:t>碳排放 carbon emissions [GB/T 32151系列标准]</w:t>
      </w:r>
    </w:p>
    <w:p w14:paraId="65D38F3D">
      <w:pPr>
        <w:tabs>
          <w:tab w:val="left" w:pos="3880"/>
        </w:tabs>
        <w:autoSpaceDE w:val="0"/>
        <w:autoSpaceDN w:val="0"/>
        <w:adjustRightInd w:val="0"/>
        <w:spacing w:line="360" w:lineRule="auto"/>
        <w:ind w:right="-23" w:firstLine="600" w:firstLineChars="250"/>
        <w:jc w:val="left"/>
        <w:outlineLvl w:val="1"/>
        <w:rPr>
          <w:rFonts w:ascii="宋体" w:hAnsi="宋体"/>
          <w:sz w:val="24"/>
        </w:rPr>
      </w:pPr>
      <w:r>
        <w:rPr>
          <w:rFonts w:hint="eastAsia" w:ascii="宋体" w:hAnsi="宋体"/>
          <w:sz w:val="24"/>
        </w:rPr>
        <w:t xml:space="preserve">在特定时段内向大气中释放温室气体的过程。 </w:t>
      </w:r>
    </w:p>
    <w:p w14:paraId="2401719F">
      <w:pPr>
        <w:tabs>
          <w:tab w:val="left" w:pos="3880"/>
        </w:tabs>
        <w:autoSpaceDE w:val="0"/>
        <w:autoSpaceDN w:val="0"/>
        <w:adjustRightInd w:val="0"/>
        <w:spacing w:line="360" w:lineRule="auto"/>
        <w:ind w:right="-23"/>
        <w:jc w:val="left"/>
        <w:outlineLvl w:val="1"/>
        <w:rPr>
          <w:rFonts w:ascii="宋体" w:hAnsi="宋体"/>
          <w:sz w:val="24"/>
        </w:rPr>
      </w:pPr>
      <w:bookmarkStart w:id="31" w:name="_Toc15494"/>
      <w:bookmarkStart w:id="32" w:name="_Toc26927"/>
      <w:bookmarkStart w:id="33" w:name="_Toc13835"/>
      <w:bookmarkStart w:id="34" w:name="_Toc5979"/>
      <w:r>
        <w:rPr>
          <w:rFonts w:hint="eastAsia" w:ascii="宋体" w:hAnsi="宋体"/>
          <w:sz w:val="24"/>
        </w:rPr>
        <w:t xml:space="preserve">3.2  </w:t>
      </w:r>
      <w:bookmarkEnd w:id="31"/>
      <w:bookmarkEnd w:id="32"/>
      <w:bookmarkEnd w:id="33"/>
      <w:bookmarkEnd w:id="34"/>
      <w:bookmarkStart w:id="35" w:name="_Toc1922"/>
      <w:bookmarkStart w:id="36" w:name="_Toc8681"/>
      <w:bookmarkStart w:id="37" w:name="_Toc30086"/>
      <w:bookmarkStart w:id="38" w:name="_Toc12598"/>
      <w:r>
        <w:rPr>
          <w:rFonts w:hint="eastAsia" w:ascii="宋体" w:hAnsi="宋体"/>
          <w:sz w:val="24"/>
        </w:rPr>
        <w:t xml:space="preserve">碳排放计量器具 measuring instruments of carbon </w:t>
      </w:r>
    </w:p>
    <w:p w14:paraId="673D7CA6">
      <w:pPr>
        <w:tabs>
          <w:tab w:val="left" w:pos="3880"/>
        </w:tabs>
        <w:autoSpaceDE w:val="0"/>
        <w:autoSpaceDN w:val="0"/>
        <w:adjustRightInd w:val="0"/>
        <w:spacing w:line="360" w:lineRule="auto"/>
        <w:ind w:right="-23" w:firstLine="600" w:firstLineChars="250"/>
        <w:jc w:val="left"/>
        <w:outlineLvl w:val="1"/>
        <w:rPr>
          <w:rFonts w:ascii="宋体" w:hAnsi="宋体"/>
          <w:sz w:val="24"/>
        </w:rPr>
      </w:pPr>
      <w:r>
        <w:rPr>
          <w:rFonts w:hint="eastAsia" w:ascii="宋体" w:hAnsi="宋体"/>
          <w:sz w:val="24"/>
        </w:rPr>
        <w:t>与温室气体排放相关的计量器具。</w:t>
      </w:r>
    </w:p>
    <w:p w14:paraId="542C842B">
      <w:pPr>
        <w:tabs>
          <w:tab w:val="left" w:pos="3880"/>
        </w:tabs>
        <w:autoSpaceDE w:val="0"/>
        <w:autoSpaceDN w:val="0"/>
        <w:adjustRightInd w:val="0"/>
        <w:spacing w:line="360" w:lineRule="auto"/>
        <w:ind w:right="-23"/>
        <w:jc w:val="left"/>
        <w:outlineLvl w:val="1"/>
        <w:rPr>
          <w:rFonts w:ascii="宋体" w:hAnsi="宋体"/>
          <w:sz w:val="24"/>
        </w:rPr>
      </w:pPr>
      <w:r>
        <w:rPr>
          <w:rFonts w:hint="eastAsia" w:ascii="宋体" w:hAnsi="宋体"/>
          <w:sz w:val="24"/>
        </w:rPr>
        <w:t xml:space="preserve">3.3  </w:t>
      </w:r>
      <w:bookmarkEnd w:id="35"/>
      <w:bookmarkEnd w:id="36"/>
      <w:bookmarkEnd w:id="37"/>
      <w:bookmarkEnd w:id="38"/>
      <w:r>
        <w:rPr>
          <w:rFonts w:hint="eastAsia" w:ascii="宋体" w:hAnsi="宋体"/>
          <w:sz w:val="24"/>
        </w:rPr>
        <w:t>碳排放计量审查 examination of the carbon emission measuring</w:t>
      </w:r>
    </w:p>
    <w:p w14:paraId="19E4C847">
      <w:pPr>
        <w:tabs>
          <w:tab w:val="left" w:pos="3880"/>
        </w:tabs>
        <w:autoSpaceDE w:val="0"/>
        <w:autoSpaceDN w:val="0"/>
        <w:adjustRightInd w:val="0"/>
        <w:spacing w:line="360" w:lineRule="auto"/>
        <w:ind w:right="-23" w:firstLine="600" w:firstLineChars="250"/>
        <w:jc w:val="left"/>
        <w:outlineLvl w:val="1"/>
        <w:rPr>
          <w:rFonts w:ascii="宋体" w:hAnsi="宋体"/>
          <w:sz w:val="24"/>
        </w:rPr>
      </w:pPr>
      <w:r>
        <w:rPr>
          <w:rFonts w:hint="eastAsia" w:ascii="宋体" w:hAnsi="宋体"/>
          <w:sz w:val="24"/>
        </w:rPr>
        <w:t>政府计量行政主管部门对重点排放单位碳排放计量器具配备和使用、碳排放计量人员配备和培训、碳排放计量数据管理等碳排放计量工作情况的审核与检查。</w:t>
      </w:r>
    </w:p>
    <w:p w14:paraId="2F1A074B">
      <w:pPr>
        <w:tabs>
          <w:tab w:val="left" w:pos="3880"/>
        </w:tabs>
        <w:autoSpaceDE w:val="0"/>
        <w:autoSpaceDN w:val="0"/>
        <w:adjustRightInd w:val="0"/>
        <w:spacing w:line="360" w:lineRule="auto"/>
        <w:ind w:right="-23"/>
        <w:jc w:val="left"/>
        <w:outlineLvl w:val="1"/>
        <w:rPr>
          <w:rFonts w:ascii="宋体" w:hAnsi="宋体"/>
          <w:sz w:val="24"/>
        </w:rPr>
      </w:pPr>
      <w:r>
        <w:rPr>
          <w:rFonts w:hint="eastAsia" w:ascii="宋体" w:hAnsi="宋体"/>
          <w:sz w:val="24"/>
        </w:rPr>
        <w:t>3.</w:t>
      </w:r>
      <w:r>
        <w:rPr>
          <w:rFonts w:ascii="宋体" w:hAnsi="宋体"/>
          <w:sz w:val="24"/>
        </w:rPr>
        <w:t xml:space="preserve">4  </w:t>
      </w:r>
      <w:r>
        <w:rPr>
          <w:rFonts w:hint="eastAsia" w:ascii="宋体" w:hAnsi="宋体"/>
          <w:sz w:val="24"/>
        </w:rPr>
        <w:t>活动数据 activity data [GB/T 32151系列标准]</w:t>
      </w:r>
    </w:p>
    <w:p w14:paraId="1E586494">
      <w:pPr>
        <w:tabs>
          <w:tab w:val="left" w:pos="3880"/>
        </w:tabs>
        <w:autoSpaceDE w:val="0"/>
        <w:autoSpaceDN w:val="0"/>
        <w:adjustRightInd w:val="0"/>
        <w:spacing w:line="360" w:lineRule="auto"/>
        <w:ind w:right="-23" w:firstLine="600" w:firstLineChars="250"/>
        <w:jc w:val="left"/>
        <w:outlineLvl w:val="1"/>
        <w:rPr>
          <w:rFonts w:ascii="宋体" w:hAnsi="宋体"/>
          <w:sz w:val="24"/>
        </w:rPr>
      </w:pPr>
      <w:r>
        <w:rPr>
          <w:rFonts w:hint="eastAsia" w:ascii="宋体" w:hAnsi="宋体"/>
          <w:sz w:val="24"/>
        </w:rPr>
        <w:t xml:space="preserve">导致温室气体排放的生产或消费活动量的表征值。 </w:t>
      </w:r>
    </w:p>
    <w:p w14:paraId="0EEB1304">
      <w:pPr>
        <w:tabs>
          <w:tab w:val="left" w:pos="3880"/>
        </w:tabs>
        <w:autoSpaceDE w:val="0"/>
        <w:autoSpaceDN w:val="0"/>
        <w:adjustRightInd w:val="0"/>
        <w:spacing w:line="360" w:lineRule="auto"/>
        <w:ind w:right="-23"/>
        <w:jc w:val="left"/>
        <w:outlineLvl w:val="1"/>
        <w:rPr>
          <w:rFonts w:ascii="宋体" w:hAnsi="宋体"/>
          <w:sz w:val="24"/>
        </w:rPr>
      </w:pPr>
      <w:r>
        <w:rPr>
          <w:rFonts w:hint="eastAsia" w:ascii="宋体" w:hAnsi="宋体"/>
          <w:sz w:val="24"/>
        </w:rPr>
        <w:t>3.</w:t>
      </w:r>
      <w:r>
        <w:rPr>
          <w:rFonts w:ascii="宋体" w:hAnsi="宋体"/>
          <w:sz w:val="24"/>
        </w:rPr>
        <w:t>5</w:t>
      </w:r>
      <w:r>
        <w:rPr>
          <w:rFonts w:hint="eastAsia" w:ascii="宋体" w:hAnsi="宋体"/>
          <w:sz w:val="24"/>
        </w:rPr>
        <w:t xml:space="preserve">  排放因子 emission factor [GB/T 32151系列标准]</w:t>
      </w:r>
    </w:p>
    <w:p w14:paraId="161633FB">
      <w:pPr>
        <w:tabs>
          <w:tab w:val="left" w:pos="3880"/>
        </w:tabs>
        <w:autoSpaceDE w:val="0"/>
        <w:autoSpaceDN w:val="0"/>
        <w:adjustRightInd w:val="0"/>
        <w:spacing w:line="360" w:lineRule="auto"/>
        <w:ind w:right="-23" w:firstLine="600" w:firstLineChars="250"/>
        <w:jc w:val="left"/>
        <w:outlineLvl w:val="1"/>
        <w:rPr>
          <w:rFonts w:ascii="宋体" w:hAnsi="宋体"/>
          <w:sz w:val="24"/>
        </w:rPr>
      </w:pPr>
      <w:r>
        <w:rPr>
          <w:rFonts w:hint="eastAsia" w:ascii="宋体" w:hAnsi="宋体"/>
          <w:sz w:val="24"/>
        </w:rPr>
        <w:t>表征单位生产或消费活动量的温室气体排放的系数。</w:t>
      </w:r>
    </w:p>
    <w:p w14:paraId="3906E1B5">
      <w:pPr>
        <w:tabs>
          <w:tab w:val="left" w:pos="3880"/>
        </w:tabs>
        <w:autoSpaceDE w:val="0"/>
        <w:autoSpaceDN w:val="0"/>
        <w:adjustRightInd w:val="0"/>
        <w:spacing w:line="360" w:lineRule="auto"/>
        <w:ind w:right="-23"/>
        <w:jc w:val="left"/>
        <w:outlineLvl w:val="1"/>
        <w:rPr>
          <w:rFonts w:ascii="宋体" w:hAnsi="宋体"/>
          <w:sz w:val="24"/>
        </w:rPr>
      </w:pPr>
      <w:r>
        <w:rPr>
          <w:rFonts w:hint="eastAsia" w:ascii="宋体" w:hAnsi="宋体"/>
          <w:sz w:val="24"/>
        </w:rPr>
        <w:t>3.</w:t>
      </w:r>
      <w:r>
        <w:rPr>
          <w:rFonts w:ascii="宋体" w:hAnsi="宋体"/>
          <w:sz w:val="24"/>
        </w:rPr>
        <w:t>6</w:t>
      </w:r>
      <w:r>
        <w:rPr>
          <w:rFonts w:hint="eastAsia" w:ascii="宋体" w:hAnsi="宋体"/>
          <w:sz w:val="24"/>
        </w:rPr>
        <w:t xml:space="preserve">  审查主体 review subject</w:t>
      </w:r>
    </w:p>
    <w:p w14:paraId="4023B1C9">
      <w:pPr>
        <w:tabs>
          <w:tab w:val="left" w:pos="3880"/>
        </w:tabs>
        <w:autoSpaceDE w:val="0"/>
        <w:autoSpaceDN w:val="0"/>
        <w:adjustRightInd w:val="0"/>
        <w:spacing w:line="360" w:lineRule="auto"/>
        <w:ind w:right="-23" w:firstLine="600" w:firstLineChars="250"/>
        <w:jc w:val="left"/>
        <w:outlineLvl w:val="1"/>
      </w:pPr>
      <w:r>
        <w:rPr>
          <w:rFonts w:hint="eastAsia" w:ascii="宋体" w:hAnsi="宋体"/>
          <w:sz w:val="24"/>
        </w:rPr>
        <w:t xml:space="preserve">具有温室气体排放行为的法人企业或视同法人的独立核算单位。 </w:t>
      </w:r>
    </w:p>
    <w:p w14:paraId="04070DB9">
      <w:pPr>
        <w:pStyle w:val="47"/>
      </w:pPr>
      <w:bookmarkStart w:id="39" w:name="_Toc23376"/>
      <w:bookmarkStart w:id="40" w:name="_Toc7346"/>
      <w:bookmarkStart w:id="41" w:name="_Toc24367"/>
      <w:bookmarkStart w:id="42" w:name="_Toc31704"/>
      <w:r>
        <w:rPr>
          <w:rFonts w:hint="eastAsia"/>
        </w:rPr>
        <w:t xml:space="preserve">4  </w:t>
      </w:r>
      <w:bookmarkEnd w:id="15"/>
      <w:bookmarkEnd w:id="16"/>
      <w:bookmarkEnd w:id="39"/>
      <w:bookmarkEnd w:id="40"/>
      <w:bookmarkEnd w:id="41"/>
      <w:bookmarkEnd w:id="42"/>
      <w:r>
        <w:rPr>
          <w:rFonts w:hint="eastAsia"/>
        </w:rPr>
        <w:t>碳排放计量管理</w:t>
      </w:r>
    </w:p>
    <w:p w14:paraId="35D42DED">
      <w:pPr>
        <w:spacing w:line="360" w:lineRule="auto"/>
        <w:outlineLvl w:val="1"/>
        <w:rPr>
          <w:rFonts w:ascii="宋体" w:hAnsi="宋体"/>
          <w:sz w:val="24"/>
        </w:rPr>
      </w:pPr>
      <w:r>
        <w:rPr>
          <w:rFonts w:hint="eastAsia" w:ascii="宋体" w:hAnsi="宋体"/>
          <w:sz w:val="24"/>
        </w:rPr>
        <w:t>4.1</w:t>
      </w:r>
      <w:r>
        <w:rPr>
          <w:rFonts w:ascii="宋体" w:hAnsi="宋体"/>
          <w:sz w:val="24"/>
        </w:rPr>
        <w:t xml:space="preserve">  </w:t>
      </w:r>
      <w:r>
        <w:rPr>
          <w:rFonts w:hint="eastAsia" w:ascii="宋体" w:hAnsi="宋体"/>
          <w:sz w:val="24"/>
        </w:rPr>
        <w:t>总则</w:t>
      </w:r>
    </w:p>
    <w:p w14:paraId="4CE28C65">
      <w:pPr>
        <w:tabs>
          <w:tab w:val="left" w:pos="3880"/>
        </w:tabs>
        <w:autoSpaceDE w:val="0"/>
        <w:autoSpaceDN w:val="0"/>
        <w:adjustRightInd w:val="0"/>
        <w:spacing w:line="360" w:lineRule="auto"/>
        <w:ind w:right="-23" w:firstLine="480" w:firstLineChars="200"/>
        <w:jc w:val="left"/>
        <w:outlineLvl w:val="1"/>
        <w:rPr>
          <w:rFonts w:ascii="宋体" w:hAnsi="宋体"/>
          <w:sz w:val="24"/>
        </w:rPr>
      </w:pPr>
      <w:r>
        <w:rPr>
          <w:rFonts w:hint="eastAsia" w:ascii="宋体" w:hAnsi="宋体"/>
          <w:sz w:val="24"/>
        </w:rPr>
        <w:t>重点排放单位应建立健全碳排放计量管理制度，明确碳排放计量管理职责，加强碳排放计量管理，确保碳排放计量数据真实准确。</w:t>
      </w:r>
    </w:p>
    <w:p w14:paraId="590736B4">
      <w:pPr>
        <w:tabs>
          <w:tab w:val="left" w:pos="3880"/>
        </w:tabs>
        <w:autoSpaceDE w:val="0"/>
        <w:autoSpaceDN w:val="0"/>
        <w:adjustRightInd w:val="0"/>
        <w:spacing w:line="360" w:lineRule="auto"/>
        <w:ind w:right="-23"/>
        <w:jc w:val="left"/>
        <w:outlineLvl w:val="1"/>
        <w:rPr>
          <w:rFonts w:ascii="宋体" w:hAnsi="宋体"/>
          <w:sz w:val="24"/>
        </w:rPr>
      </w:pPr>
      <w:r>
        <w:rPr>
          <w:rFonts w:ascii="宋体" w:hAnsi="宋体"/>
          <w:sz w:val="24"/>
        </w:rPr>
        <w:t xml:space="preserve">4.2  </w:t>
      </w:r>
      <w:r>
        <w:rPr>
          <w:rFonts w:hint="eastAsia" w:ascii="宋体" w:hAnsi="宋体"/>
          <w:sz w:val="24"/>
        </w:rPr>
        <w:t>组织与管理</w:t>
      </w:r>
    </w:p>
    <w:p w14:paraId="4CA65F0B">
      <w:pPr>
        <w:tabs>
          <w:tab w:val="left" w:pos="3880"/>
        </w:tabs>
        <w:autoSpaceDE w:val="0"/>
        <w:autoSpaceDN w:val="0"/>
        <w:adjustRightInd w:val="0"/>
        <w:spacing w:line="360" w:lineRule="auto"/>
        <w:ind w:right="-23" w:firstLine="480" w:firstLineChars="200"/>
        <w:jc w:val="left"/>
        <w:outlineLvl w:val="1"/>
        <w:rPr>
          <w:rFonts w:ascii="宋体" w:hAnsi="宋体"/>
          <w:sz w:val="24"/>
        </w:rPr>
      </w:pPr>
      <w:r>
        <w:rPr>
          <w:rFonts w:hint="eastAsia" w:ascii="宋体" w:hAnsi="宋体"/>
          <w:sz w:val="24"/>
        </w:rPr>
        <w:t>重点排放单位应明确碳排放计量工作的最高管理者，确立碳排放计量主管部门，设置碳排放计量岗位，并以文件形式明确规定其职责、权限和相互隶属关系。</w:t>
      </w:r>
    </w:p>
    <w:p w14:paraId="4ED992B2">
      <w:pPr>
        <w:tabs>
          <w:tab w:val="left" w:pos="3880"/>
        </w:tabs>
        <w:autoSpaceDE w:val="0"/>
        <w:autoSpaceDN w:val="0"/>
        <w:adjustRightInd w:val="0"/>
        <w:spacing w:line="360" w:lineRule="auto"/>
        <w:ind w:right="-23"/>
        <w:jc w:val="left"/>
        <w:outlineLvl w:val="1"/>
        <w:rPr>
          <w:rFonts w:ascii="宋体" w:hAnsi="宋体"/>
          <w:sz w:val="24"/>
        </w:rPr>
      </w:pPr>
      <w:r>
        <w:rPr>
          <w:rFonts w:ascii="宋体" w:hAnsi="宋体"/>
          <w:sz w:val="24"/>
        </w:rPr>
        <w:t xml:space="preserve">4.3 </w:t>
      </w:r>
      <w:r>
        <w:rPr>
          <w:rFonts w:hint="eastAsia" w:ascii="宋体" w:hAnsi="宋体"/>
          <w:sz w:val="24"/>
        </w:rPr>
        <w:t>碳排放计量管理制度</w:t>
      </w:r>
    </w:p>
    <w:p w14:paraId="0E894AAB">
      <w:pPr>
        <w:tabs>
          <w:tab w:val="left" w:pos="3880"/>
        </w:tabs>
        <w:autoSpaceDE w:val="0"/>
        <w:autoSpaceDN w:val="0"/>
        <w:adjustRightInd w:val="0"/>
        <w:spacing w:line="360" w:lineRule="auto"/>
        <w:ind w:right="-23" w:firstLine="480" w:firstLineChars="200"/>
        <w:jc w:val="left"/>
        <w:outlineLvl w:val="1"/>
        <w:rPr>
          <w:rFonts w:ascii="宋体" w:hAnsi="宋体"/>
          <w:sz w:val="24"/>
        </w:rPr>
      </w:pPr>
      <w:r>
        <w:rPr>
          <w:rFonts w:hint="eastAsia" w:ascii="宋体" w:hAnsi="宋体"/>
          <w:sz w:val="24"/>
        </w:rPr>
        <w:t>重点排放单位应按本规范要求建立健全碳排放计量管理制度，持续改进其有效性。管理制度应形成文件，传达至有关人员，被其理解、获取和执行。管理制度至少包括如下内容： 碳排放计量管理职责；碳排放计量器具配备、使用和维护管理制度；碳排放计量器具周期检定/校准管理制度；碳排放计量人员配备、培训和考核管理制度；碳排放计量数据采集、处理、统计分析和应用制度；碳排放计量自查和改进制度。</w:t>
      </w:r>
    </w:p>
    <w:p w14:paraId="319DFEA1">
      <w:pPr>
        <w:pStyle w:val="47"/>
      </w:pPr>
      <w:bookmarkStart w:id="43" w:name="_Toc19050"/>
      <w:bookmarkStart w:id="44" w:name="_Toc22965"/>
      <w:bookmarkStart w:id="45" w:name="_Toc26232"/>
      <w:bookmarkStart w:id="46" w:name="_Toc350158461"/>
      <w:bookmarkStart w:id="47" w:name="_Toc9341"/>
      <w:bookmarkStart w:id="48" w:name="_Toc353651451"/>
      <w:r>
        <w:rPr>
          <w:rFonts w:hint="eastAsia"/>
        </w:rPr>
        <w:t xml:space="preserve">5  </w:t>
      </w:r>
      <w:bookmarkEnd w:id="43"/>
      <w:bookmarkEnd w:id="44"/>
      <w:bookmarkEnd w:id="45"/>
      <w:bookmarkEnd w:id="46"/>
      <w:bookmarkEnd w:id="47"/>
      <w:bookmarkEnd w:id="48"/>
      <w:r>
        <w:rPr>
          <w:rFonts w:hint="eastAsia"/>
        </w:rPr>
        <w:t>碳排放计量人员</w:t>
      </w:r>
    </w:p>
    <w:p w14:paraId="0D59E020">
      <w:pPr>
        <w:spacing w:line="360" w:lineRule="auto"/>
        <w:outlineLvl w:val="1"/>
        <w:rPr>
          <w:rFonts w:ascii="宋体" w:hAnsi="宋体"/>
          <w:sz w:val="24"/>
        </w:rPr>
      </w:pPr>
      <w:bookmarkStart w:id="49" w:name="_Toc12745"/>
      <w:bookmarkStart w:id="50" w:name="_Toc20658"/>
      <w:bookmarkStart w:id="51" w:name="_Toc16421"/>
      <w:bookmarkStart w:id="52" w:name="_Toc25177"/>
      <w:bookmarkStart w:id="53" w:name="_Toc353651453"/>
      <w:bookmarkStart w:id="54" w:name="_Toc350158463"/>
      <w:r>
        <w:rPr>
          <w:rFonts w:hint="eastAsia" w:ascii="宋体" w:hAnsi="宋体"/>
          <w:sz w:val="24"/>
        </w:rPr>
        <w:t>5.1</w:t>
      </w:r>
      <w:bookmarkEnd w:id="49"/>
      <w:bookmarkEnd w:id="50"/>
      <w:bookmarkEnd w:id="51"/>
      <w:bookmarkEnd w:id="52"/>
      <w:bookmarkStart w:id="55" w:name="_Toc2600"/>
      <w:bookmarkStart w:id="56" w:name="_Toc27548"/>
      <w:bookmarkStart w:id="57" w:name="_Toc3187"/>
      <w:bookmarkStart w:id="58" w:name="_Toc4415"/>
      <w:r>
        <w:rPr>
          <w:rFonts w:ascii="宋体" w:hAnsi="宋体"/>
          <w:sz w:val="24"/>
        </w:rPr>
        <w:t xml:space="preserve">  </w:t>
      </w:r>
      <w:r>
        <w:rPr>
          <w:rFonts w:hint="eastAsia" w:ascii="宋体" w:hAnsi="宋体"/>
          <w:sz w:val="24"/>
        </w:rPr>
        <w:t>碳排放计量人员配备</w:t>
      </w:r>
    </w:p>
    <w:p w14:paraId="002F0766">
      <w:pPr>
        <w:spacing w:line="360" w:lineRule="auto"/>
        <w:ind w:firstLine="480" w:firstLineChars="200"/>
        <w:jc w:val="left"/>
        <w:outlineLvl w:val="1"/>
        <w:rPr>
          <w:rFonts w:ascii="宋体" w:hAnsi="宋体"/>
          <w:sz w:val="24"/>
        </w:rPr>
      </w:pPr>
      <w:r>
        <w:rPr>
          <w:rFonts w:hint="eastAsia" w:ascii="宋体" w:hAnsi="宋体"/>
          <w:sz w:val="24"/>
        </w:rPr>
        <w:t>重点排放单位应根据工作需要配备足够的专业人员从事碳排放计量管理工作，保证碳排放计量职责和管理制度落实到位。</w:t>
      </w:r>
    </w:p>
    <w:p w14:paraId="5854D4B3">
      <w:pPr>
        <w:spacing w:line="360" w:lineRule="auto"/>
        <w:ind w:firstLine="480" w:firstLineChars="200"/>
        <w:outlineLvl w:val="1"/>
        <w:rPr>
          <w:rFonts w:ascii="宋体" w:hAnsi="宋体"/>
          <w:sz w:val="24"/>
        </w:rPr>
      </w:pPr>
      <w:r>
        <w:rPr>
          <w:rFonts w:hint="eastAsia" w:ascii="宋体" w:hAnsi="宋体"/>
          <w:sz w:val="24"/>
        </w:rPr>
        <w:t>重点排放单位应设专人负责碳排放计量器具配备、使用、检定/校准、维护、报废等管理工作，依法实施碳排放计量器具的检定/校准，确保碳排放计量器具量值的准确可靠。</w:t>
      </w:r>
    </w:p>
    <w:p w14:paraId="0625F261">
      <w:pPr>
        <w:spacing w:line="360" w:lineRule="auto"/>
        <w:ind w:firstLine="480" w:firstLineChars="200"/>
        <w:outlineLvl w:val="1"/>
        <w:rPr>
          <w:rFonts w:ascii="宋体" w:hAnsi="宋体"/>
          <w:sz w:val="24"/>
        </w:rPr>
      </w:pPr>
      <w:r>
        <w:rPr>
          <w:rFonts w:hint="eastAsia" w:ascii="宋体" w:hAnsi="宋体"/>
          <w:sz w:val="24"/>
        </w:rPr>
        <w:t>重点排放单位应设专人负责碳排放计量数据采集、统计、分析，保证碳排放计量数据完整、真实、准确。</w:t>
      </w:r>
    </w:p>
    <w:p w14:paraId="4259AF22">
      <w:pPr>
        <w:spacing w:line="360" w:lineRule="auto"/>
        <w:outlineLvl w:val="1"/>
        <w:rPr>
          <w:rFonts w:asciiTheme="minorEastAsia" w:hAnsiTheme="minorEastAsia" w:eastAsiaTheme="minorEastAsia"/>
          <w:sz w:val="24"/>
        </w:rPr>
      </w:pPr>
      <w:r>
        <w:rPr>
          <w:rFonts w:hint="eastAsia" w:asciiTheme="minorEastAsia" w:hAnsiTheme="minorEastAsia" w:eastAsiaTheme="minorEastAsia"/>
          <w:sz w:val="24"/>
        </w:rPr>
        <w:t xml:space="preserve">5.2  </w:t>
      </w:r>
      <w:bookmarkEnd w:id="55"/>
      <w:bookmarkEnd w:id="56"/>
      <w:bookmarkEnd w:id="57"/>
      <w:bookmarkEnd w:id="58"/>
      <w:r>
        <w:rPr>
          <w:rFonts w:hint="eastAsia" w:asciiTheme="minorEastAsia" w:hAnsiTheme="minorEastAsia" w:eastAsiaTheme="minorEastAsia"/>
          <w:sz w:val="24"/>
        </w:rPr>
        <w:t>人员培训和档案</w:t>
      </w:r>
    </w:p>
    <w:p w14:paraId="1DE13D60">
      <w:pPr>
        <w:spacing w:line="360" w:lineRule="auto"/>
        <w:ind w:firstLine="480" w:firstLineChars="200"/>
        <w:outlineLvl w:val="1"/>
        <w:rPr>
          <w:rFonts w:asciiTheme="minorEastAsia" w:hAnsiTheme="minorEastAsia" w:eastAsiaTheme="minorEastAsia"/>
          <w:sz w:val="24"/>
        </w:rPr>
      </w:pPr>
      <w:r>
        <w:rPr>
          <w:rFonts w:hint="eastAsia" w:asciiTheme="minorEastAsia" w:hAnsiTheme="minorEastAsia" w:eastAsiaTheme="minorEastAsia"/>
          <w:sz w:val="24"/>
        </w:rPr>
        <w:t>重点排放单位从事碳排放计量管理、碳排放计量器具维护、碳排放计量数据采集、碳排放计量数据统计分析等人员，应掌握从事岗位所需的专业技术和业务知识，具备碳排放计量技术和业务能力， 定期接受培训。</w:t>
      </w:r>
    </w:p>
    <w:p w14:paraId="201CCC8A">
      <w:pPr>
        <w:spacing w:line="360" w:lineRule="auto"/>
        <w:ind w:firstLine="480" w:firstLineChars="200"/>
        <w:outlineLvl w:val="1"/>
        <w:rPr>
          <w:rFonts w:ascii="仿宋" w:hAnsi="仿宋" w:eastAsia="仿宋"/>
          <w:b/>
          <w:szCs w:val="21"/>
        </w:rPr>
      </w:pPr>
      <w:r>
        <w:rPr>
          <w:rFonts w:hint="eastAsia" w:asciiTheme="minorEastAsia" w:hAnsiTheme="minorEastAsia" w:eastAsiaTheme="minorEastAsia"/>
          <w:sz w:val="24"/>
        </w:rPr>
        <w:t>重点排放单位应建立碳排放计量工作人员技术档案，保存其能力、教育、专业资格、培训、技能和经验等记录。</w:t>
      </w:r>
    </w:p>
    <w:bookmarkEnd w:id="53"/>
    <w:bookmarkEnd w:id="54"/>
    <w:p w14:paraId="26667EEC">
      <w:pPr>
        <w:pStyle w:val="47"/>
      </w:pPr>
      <w:bookmarkStart w:id="59" w:name="_Toc2982"/>
      <w:bookmarkStart w:id="60" w:name="_Toc7899"/>
      <w:bookmarkStart w:id="61" w:name="_Toc350158470"/>
      <w:bookmarkStart w:id="62" w:name="_Toc353651461"/>
      <w:bookmarkStart w:id="63" w:name="_Toc27062"/>
      <w:bookmarkStart w:id="64" w:name="_Toc6470"/>
      <w:r>
        <w:rPr>
          <w:rFonts w:hint="eastAsia"/>
        </w:rPr>
        <w:t xml:space="preserve">6  </w:t>
      </w:r>
      <w:bookmarkEnd w:id="59"/>
      <w:bookmarkEnd w:id="60"/>
      <w:bookmarkEnd w:id="61"/>
      <w:bookmarkEnd w:id="62"/>
      <w:bookmarkEnd w:id="63"/>
      <w:bookmarkEnd w:id="64"/>
      <w:r>
        <w:rPr>
          <w:rFonts w:hint="eastAsia"/>
        </w:rPr>
        <w:t>碳排放计量器具</w:t>
      </w:r>
    </w:p>
    <w:p w14:paraId="03B99831">
      <w:pPr>
        <w:snapToGrid w:val="0"/>
        <w:spacing w:line="460" w:lineRule="exact"/>
        <w:outlineLvl w:val="1"/>
        <w:rPr>
          <w:rFonts w:ascii="宋体" w:hAnsi="宋体"/>
          <w:sz w:val="24"/>
        </w:rPr>
      </w:pPr>
      <w:bookmarkStart w:id="65" w:name="_Toc270428037"/>
      <w:bookmarkStart w:id="66" w:name="_Toc31662"/>
      <w:bookmarkStart w:id="67" w:name="_Toc262"/>
      <w:bookmarkStart w:id="68" w:name="_Toc17020"/>
      <w:bookmarkStart w:id="69" w:name="_Toc17865"/>
      <w:bookmarkStart w:id="70" w:name="_Toc353651463"/>
      <w:bookmarkStart w:id="71" w:name="_Toc350158472"/>
      <w:r>
        <w:rPr>
          <w:rFonts w:hint="eastAsia" w:ascii="宋体" w:hAnsi="宋体"/>
          <w:sz w:val="24"/>
        </w:rPr>
        <w:t>6.1</w:t>
      </w:r>
      <w:bookmarkEnd w:id="65"/>
      <w:bookmarkStart w:id="72" w:name="_Toc270428038"/>
      <w:r>
        <w:rPr>
          <w:rFonts w:hint="eastAsia" w:ascii="宋体" w:hAnsi="宋体"/>
          <w:sz w:val="24"/>
        </w:rPr>
        <w:t xml:space="preserve">  </w:t>
      </w:r>
      <w:bookmarkEnd w:id="66"/>
      <w:bookmarkEnd w:id="67"/>
      <w:bookmarkEnd w:id="68"/>
      <w:bookmarkEnd w:id="69"/>
      <w:bookmarkEnd w:id="72"/>
      <w:bookmarkStart w:id="73" w:name="_Toc16026"/>
      <w:bookmarkStart w:id="74" w:name="_Toc13435"/>
      <w:bookmarkStart w:id="75" w:name="_Toc7592"/>
      <w:bookmarkStart w:id="76" w:name="_Toc30077"/>
      <w:r>
        <w:rPr>
          <w:rFonts w:hint="eastAsia" w:ascii="宋体" w:hAnsi="宋体"/>
          <w:sz w:val="24"/>
        </w:rPr>
        <w:t>碳排放计量器具配备</w:t>
      </w:r>
    </w:p>
    <w:p w14:paraId="1601D580">
      <w:pPr>
        <w:snapToGrid w:val="0"/>
        <w:spacing w:line="460" w:lineRule="exact"/>
        <w:ind w:firstLine="480" w:firstLineChars="200"/>
        <w:outlineLvl w:val="1"/>
        <w:rPr>
          <w:rFonts w:ascii="宋体" w:hAnsi="宋体"/>
          <w:sz w:val="24"/>
        </w:rPr>
      </w:pPr>
      <w:r>
        <w:rPr>
          <w:rFonts w:hint="eastAsia" w:ascii="宋体" w:hAnsi="宋体"/>
          <w:sz w:val="24"/>
        </w:rPr>
        <w:t>重点排放单位需根据排放源确定碳排放计量器具理论需要量，并配备符合现行有效的国家标准或国家计量技术规范要求的碳排放计量器具，以满足温室气体排放的管理要求。</w:t>
      </w:r>
    </w:p>
    <w:p w14:paraId="4F5B4ABE">
      <w:pPr>
        <w:snapToGrid w:val="0"/>
        <w:spacing w:line="460" w:lineRule="exact"/>
        <w:outlineLvl w:val="1"/>
        <w:rPr>
          <w:rFonts w:ascii="宋体" w:hAnsi="宋体"/>
          <w:sz w:val="24"/>
        </w:rPr>
      </w:pPr>
      <w:r>
        <w:rPr>
          <w:rFonts w:hint="eastAsia" w:ascii="宋体" w:hAnsi="宋体"/>
          <w:sz w:val="24"/>
        </w:rPr>
        <w:t xml:space="preserve">6.2  </w:t>
      </w:r>
      <w:bookmarkEnd w:id="70"/>
      <w:bookmarkEnd w:id="71"/>
      <w:bookmarkEnd w:id="73"/>
      <w:bookmarkEnd w:id="74"/>
      <w:bookmarkEnd w:id="75"/>
      <w:bookmarkEnd w:id="76"/>
      <w:bookmarkStart w:id="77" w:name="_Toc353651464"/>
      <w:bookmarkStart w:id="78" w:name="_Toc10140"/>
      <w:bookmarkStart w:id="79" w:name="_Toc7629"/>
      <w:bookmarkStart w:id="80" w:name="_Toc2035"/>
      <w:bookmarkStart w:id="81" w:name="_Toc350158473"/>
      <w:bookmarkStart w:id="82" w:name="_Toc16713"/>
      <w:r>
        <w:rPr>
          <w:rFonts w:hint="eastAsia" w:ascii="宋体" w:hAnsi="宋体"/>
          <w:sz w:val="24"/>
        </w:rPr>
        <w:t>碳排放计量器具管理</w:t>
      </w:r>
    </w:p>
    <w:p w14:paraId="2DEA67D0">
      <w:pPr>
        <w:snapToGrid w:val="0"/>
        <w:spacing w:line="460" w:lineRule="exact"/>
        <w:ind w:firstLine="480" w:firstLineChars="200"/>
        <w:outlineLvl w:val="1"/>
        <w:rPr>
          <w:rFonts w:ascii="宋体" w:hAnsi="宋体"/>
          <w:sz w:val="24"/>
        </w:rPr>
      </w:pPr>
      <w:r>
        <w:rPr>
          <w:rFonts w:hint="eastAsia" w:ascii="宋体" w:hAnsi="宋体"/>
          <w:sz w:val="24"/>
        </w:rPr>
        <w:t>重点排放单位应对碳排放计量器具配备、申购、验收、保管、使用、检定/校准、维护和报废处理等环节形成制度并实施有效管理，确保碳排放计量器具配备满足碳排放计量数据采集需要和在用碳排放计量器具的量值准确可靠。</w:t>
      </w:r>
    </w:p>
    <w:p w14:paraId="18592C2F">
      <w:pPr>
        <w:snapToGrid w:val="0"/>
        <w:spacing w:line="460" w:lineRule="exact"/>
        <w:ind w:firstLine="480" w:firstLineChars="200"/>
        <w:outlineLvl w:val="1"/>
        <w:rPr>
          <w:rFonts w:ascii="宋体" w:hAnsi="宋体"/>
          <w:sz w:val="24"/>
        </w:rPr>
      </w:pPr>
      <w:r>
        <w:rPr>
          <w:rFonts w:hint="eastAsia" w:ascii="宋体" w:hAnsi="宋体"/>
          <w:sz w:val="24"/>
        </w:rPr>
        <w:t>重点排放单位应建立碳排放计量器具台账或完整的碳排放计量器具一览表。台账或一览表中应列出计量器具名称、型号规格、测量范围、准确度等级、生产厂家、出厂编号、管理编号、安装使用或存放地点、用途、最近检定/校准日期、检定周期/校准间隔等内容。</w:t>
      </w:r>
    </w:p>
    <w:p w14:paraId="415C8F99">
      <w:pPr>
        <w:snapToGrid w:val="0"/>
        <w:spacing w:line="460" w:lineRule="exact"/>
        <w:outlineLvl w:val="1"/>
        <w:rPr>
          <w:rFonts w:ascii="宋体" w:hAnsi="宋体"/>
          <w:sz w:val="24"/>
        </w:rPr>
      </w:pPr>
      <w:r>
        <w:rPr>
          <w:rFonts w:hint="eastAsia" w:ascii="宋体" w:hAnsi="宋体"/>
          <w:sz w:val="24"/>
        </w:rPr>
        <w:t>6.</w:t>
      </w:r>
      <w:r>
        <w:rPr>
          <w:rFonts w:ascii="宋体" w:hAnsi="宋体"/>
          <w:sz w:val="24"/>
        </w:rPr>
        <w:t>3</w:t>
      </w:r>
      <w:r>
        <w:rPr>
          <w:rFonts w:hint="eastAsia" w:ascii="宋体" w:hAnsi="宋体"/>
          <w:sz w:val="24"/>
        </w:rPr>
        <w:t xml:space="preserve">  碳排放计量器具使用</w:t>
      </w:r>
    </w:p>
    <w:p w14:paraId="48415F35">
      <w:pPr>
        <w:snapToGrid w:val="0"/>
        <w:spacing w:line="460" w:lineRule="exact"/>
        <w:ind w:firstLine="480" w:firstLineChars="200"/>
        <w:outlineLvl w:val="1"/>
        <w:rPr>
          <w:rFonts w:ascii="宋体" w:hAnsi="宋体"/>
          <w:sz w:val="24"/>
        </w:rPr>
      </w:pPr>
      <w:r>
        <w:rPr>
          <w:rFonts w:hint="eastAsia" w:ascii="宋体" w:hAnsi="宋体"/>
          <w:sz w:val="24"/>
        </w:rPr>
        <w:t>在用碳排放计量器具应处于有效的检定/校准状态。碳排放计量器具的检定周期、溯源方式应遵守相关计量法律法规的规定。</w:t>
      </w:r>
    </w:p>
    <w:p w14:paraId="3F079045">
      <w:pPr>
        <w:snapToGrid w:val="0"/>
        <w:spacing w:line="460" w:lineRule="exact"/>
        <w:ind w:firstLine="480" w:firstLineChars="200"/>
        <w:outlineLvl w:val="1"/>
        <w:rPr>
          <w:rFonts w:ascii="宋体" w:hAnsi="宋体"/>
          <w:sz w:val="24"/>
        </w:rPr>
      </w:pPr>
      <w:r>
        <w:rPr>
          <w:rFonts w:hint="eastAsia" w:ascii="宋体" w:hAnsi="宋体"/>
          <w:sz w:val="24"/>
        </w:rPr>
        <w:t>1）本单位最高计量标准器具以及属于强制检定范围的工作计量器具应向政府计量行政部门登记备案,并向其指定的技术机构申请强制检定。</w:t>
      </w:r>
    </w:p>
    <w:p w14:paraId="2BF4DA2F">
      <w:pPr>
        <w:snapToGrid w:val="0"/>
        <w:spacing w:line="460" w:lineRule="exact"/>
        <w:ind w:firstLine="480" w:firstLineChars="200"/>
        <w:outlineLvl w:val="1"/>
        <w:rPr>
          <w:rFonts w:ascii="宋体" w:hAnsi="宋体"/>
          <w:sz w:val="24"/>
        </w:rPr>
      </w:pPr>
      <w:r>
        <w:rPr>
          <w:rFonts w:hint="eastAsia" w:ascii="宋体" w:hAnsi="宋体"/>
          <w:sz w:val="24"/>
        </w:rPr>
        <w:t>2）属于非强制检定的计量器具，应由具备开展计量检定/校准资格的计量技术机构或排放单位内部建立计量标准的部门实施检定/校准。</w:t>
      </w:r>
    </w:p>
    <w:p w14:paraId="2DD6FC0D">
      <w:pPr>
        <w:snapToGrid w:val="0"/>
        <w:spacing w:line="460" w:lineRule="exact"/>
        <w:ind w:firstLine="480" w:firstLineChars="200"/>
        <w:outlineLvl w:val="1"/>
        <w:rPr>
          <w:rFonts w:ascii="宋体" w:hAnsi="宋体"/>
          <w:sz w:val="24"/>
        </w:rPr>
      </w:pPr>
      <w:r>
        <w:rPr>
          <w:rFonts w:hint="eastAsia" w:ascii="宋体" w:hAnsi="宋体"/>
          <w:sz w:val="24"/>
        </w:rPr>
        <w:t>3）对无检定规程或校准规范的非强制检定计量器具，应采取可行、有效的措施（如自校、比对、定期更换等）确保其量值准确可靠。</w:t>
      </w:r>
    </w:p>
    <w:p w14:paraId="6E1D1D61">
      <w:pPr>
        <w:snapToGrid w:val="0"/>
        <w:spacing w:line="460" w:lineRule="exact"/>
        <w:ind w:firstLine="480" w:firstLineChars="200"/>
        <w:outlineLvl w:val="1"/>
        <w:rPr>
          <w:rFonts w:ascii="宋体" w:hAnsi="宋体"/>
          <w:b/>
          <w:bCs/>
          <w:sz w:val="24"/>
        </w:rPr>
      </w:pPr>
      <w:r>
        <w:rPr>
          <w:rFonts w:hint="eastAsia" w:ascii="宋体" w:hAnsi="宋体"/>
          <w:sz w:val="24"/>
        </w:rPr>
        <w:t>4）属于排放单位自行确定检定/校准的计量器具，开展检定/校准应有现行有效的控制文件（如计量器具检定/校准间隔的管理程序和校准规范等）作为依据。</w:t>
      </w:r>
    </w:p>
    <w:p w14:paraId="47C77480">
      <w:pPr>
        <w:pStyle w:val="47"/>
      </w:pPr>
      <w:r>
        <w:rPr>
          <w:rFonts w:hint="eastAsia"/>
        </w:rPr>
        <w:t xml:space="preserve">7  </w:t>
      </w:r>
      <w:bookmarkEnd w:id="77"/>
      <w:bookmarkEnd w:id="78"/>
      <w:bookmarkEnd w:id="79"/>
      <w:bookmarkEnd w:id="80"/>
      <w:bookmarkEnd w:id="81"/>
      <w:bookmarkEnd w:id="82"/>
      <w:r>
        <w:rPr>
          <w:rFonts w:hint="eastAsia"/>
        </w:rPr>
        <w:t>碳排放计量数据</w:t>
      </w:r>
    </w:p>
    <w:p w14:paraId="09787771">
      <w:pPr>
        <w:spacing w:line="360" w:lineRule="auto"/>
        <w:outlineLvl w:val="1"/>
        <w:rPr>
          <w:rFonts w:ascii="宋体" w:hAnsi="宋体"/>
          <w:sz w:val="24"/>
        </w:rPr>
      </w:pPr>
      <w:bookmarkStart w:id="83" w:name="_Toc377"/>
      <w:bookmarkStart w:id="84" w:name="_Toc31282"/>
      <w:bookmarkStart w:id="85" w:name="_Toc30286"/>
      <w:bookmarkStart w:id="86" w:name="_Toc29976"/>
      <w:r>
        <w:rPr>
          <w:rFonts w:hint="eastAsia" w:ascii="宋体" w:hAnsi="宋体"/>
          <w:sz w:val="24"/>
        </w:rPr>
        <w:t xml:space="preserve">7.1  </w:t>
      </w:r>
      <w:bookmarkEnd w:id="83"/>
      <w:bookmarkEnd w:id="84"/>
      <w:bookmarkEnd w:id="85"/>
      <w:bookmarkEnd w:id="86"/>
      <w:r>
        <w:rPr>
          <w:rFonts w:hint="eastAsia" w:ascii="宋体" w:hAnsi="宋体"/>
          <w:sz w:val="24"/>
        </w:rPr>
        <w:t>碳排放计量数据获取</w:t>
      </w:r>
    </w:p>
    <w:p w14:paraId="527F1399">
      <w:pPr>
        <w:spacing w:line="360" w:lineRule="auto"/>
        <w:ind w:firstLine="480" w:firstLineChars="200"/>
        <w:rPr>
          <w:rFonts w:ascii="宋体" w:hAnsi="宋体"/>
          <w:sz w:val="24"/>
        </w:rPr>
      </w:pPr>
      <w:r>
        <w:rPr>
          <w:rFonts w:hint="eastAsia" w:ascii="宋体" w:hAnsi="宋体"/>
          <w:sz w:val="24"/>
        </w:rPr>
        <w:t>碳排放计量数据获取应与碳排放计量器具实际测量结果相符，不得伪造或者篡改碳排放计量数据。</w:t>
      </w:r>
    </w:p>
    <w:p w14:paraId="33A17708">
      <w:pPr>
        <w:spacing w:line="360" w:lineRule="auto"/>
        <w:outlineLvl w:val="1"/>
        <w:rPr>
          <w:rFonts w:ascii="宋体" w:hAnsi="宋体"/>
          <w:sz w:val="24"/>
        </w:rPr>
      </w:pPr>
      <w:bookmarkStart w:id="87" w:name="_Toc30764"/>
      <w:bookmarkStart w:id="88" w:name="_Toc18272"/>
      <w:bookmarkStart w:id="89" w:name="_Toc31467"/>
      <w:bookmarkStart w:id="90" w:name="_Toc2955"/>
      <w:r>
        <w:rPr>
          <w:rFonts w:hint="eastAsia" w:ascii="宋体" w:hAnsi="宋体"/>
          <w:sz w:val="24"/>
        </w:rPr>
        <w:t xml:space="preserve">7.2  </w:t>
      </w:r>
      <w:bookmarkEnd w:id="87"/>
      <w:bookmarkEnd w:id="88"/>
      <w:bookmarkEnd w:id="89"/>
      <w:bookmarkEnd w:id="90"/>
      <w:r>
        <w:rPr>
          <w:rFonts w:hint="eastAsia" w:ascii="宋体" w:hAnsi="宋体"/>
          <w:sz w:val="24"/>
        </w:rPr>
        <w:t>碳排放计量数据处理</w:t>
      </w:r>
    </w:p>
    <w:p w14:paraId="05CE8B3D">
      <w:pPr>
        <w:spacing w:line="360" w:lineRule="auto"/>
        <w:ind w:firstLine="480" w:firstLineChars="200"/>
        <w:rPr>
          <w:rFonts w:asciiTheme="minorEastAsia" w:hAnsiTheme="minorEastAsia" w:eastAsiaTheme="minorEastAsia"/>
          <w:sz w:val="24"/>
        </w:rPr>
      </w:pPr>
      <w:r>
        <w:rPr>
          <w:rFonts w:hint="eastAsia" w:ascii="宋体" w:hAnsi="宋体"/>
          <w:sz w:val="24"/>
        </w:rPr>
        <w:t>碳排放计量原始数据不得随意更改，并保证数据完整、真实、准确、可靠。当碳排放计量器具损坏或安装、拆卸期间造成碳排放计量数据不准或无法统计时，经处理后的碳排放计量数据应由授权人员进行审核确认。</w:t>
      </w:r>
    </w:p>
    <w:p w14:paraId="6D4B3313">
      <w:pPr>
        <w:spacing w:line="360" w:lineRule="auto"/>
        <w:outlineLvl w:val="1"/>
        <w:rPr>
          <w:rFonts w:ascii="宋体" w:hAnsi="宋体"/>
          <w:sz w:val="24"/>
        </w:rPr>
      </w:pPr>
      <w:bookmarkStart w:id="91" w:name="_Toc29611"/>
      <w:bookmarkStart w:id="92" w:name="_Toc651"/>
      <w:bookmarkStart w:id="93" w:name="_Toc16613"/>
      <w:bookmarkStart w:id="94" w:name="_Toc8619"/>
      <w:r>
        <w:rPr>
          <w:rFonts w:hint="eastAsia" w:ascii="宋体" w:hAnsi="宋体"/>
          <w:sz w:val="24"/>
        </w:rPr>
        <w:t xml:space="preserve">7.3  </w:t>
      </w:r>
      <w:bookmarkEnd w:id="91"/>
      <w:bookmarkEnd w:id="92"/>
      <w:bookmarkEnd w:id="93"/>
      <w:bookmarkEnd w:id="94"/>
      <w:r>
        <w:rPr>
          <w:rFonts w:hint="eastAsia" w:ascii="宋体" w:hAnsi="宋体"/>
          <w:sz w:val="24"/>
        </w:rPr>
        <w:t>碳排放计量数据管理</w:t>
      </w:r>
    </w:p>
    <w:p w14:paraId="2F75059B">
      <w:pPr>
        <w:spacing w:line="360" w:lineRule="auto"/>
        <w:ind w:firstLine="480" w:firstLineChars="200"/>
        <w:outlineLvl w:val="1"/>
        <w:rPr>
          <w:rFonts w:ascii="宋体" w:hAnsi="宋体"/>
          <w:sz w:val="24"/>
        </w:rPr>
      </w:pPr>
      <w:r>
        <w:rPr>
          <w:rFonts w:hint="eastAsia" w:ascii="宋体" w:hAnsi="宋体"/>
          <w:sz w:val="24"/>
        </w:rPr>
        <w:t>重点排放单位应对活动数据、排放因子、碳排放直接测量数据等碳排放计量数据实施有效管理。</w:t>
      </w:r>
    </w:p>
    <w:p w14:paraId="352F25F6">
      <w:pPr>
        <w:spacing w:line="360" w:lineRule="auto"/>
        <w:rPr>
          <w:rFonts w:asciiTheme="minorEastAsia" w:hAnsiTheme="minorEastAsia" w:eastAsiaTheme="minorEastAsia"/>
          <w:sz w:val="24"/>
        </w:rPr>
      </w:pPr>
      <w:r>
        <w:rPr>
          <w:rFonts w:hint="eastAsia" w:asciiTheme="minorEastAsia" w:hAnsiTheme="minorEastAsia" w:eastAsiaTheme="minorEastAsia"/>
          <w:sz w:val="24"/>
        </w:rPr>
        <w:t>7.</w:t>
      </w:r>
      <w:r>
        <w:rPr>
          <w:rFonts w:asciiTheme="minorEastAsia" w:hAnsiTheme="minorEastAsia" w:eastAsiaTheme="minorEastAsia"/>
          <w:sz w:val="24"/>
        </w:rPr>
        <w:t>4</w:t>
      </w:r>
      <w:r>
        <w:rPr>
          <w:rFonts w:hint="eastAsia" w:asciiTheme="minorEastAsia" w:hAnsiTheme="minorEastAsia" w:eastAsiaTheme="minorEastAsia"/>
          <w:sz w:val="24"/>
        </w:rPr>
        <w:t xml:space="preserve">  碳排放计量数据应用</w:t>
      </w:r>
    </w:p>
    <w:p w14:paraId="1ED05C07">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 xml:space="preserve"> 重点排放单位应按照现行有效的国家计量技术规范或企业温室气体排放核算方法与报告指南，通过燃料端计算或排放端实测获得碳排放量并进行报告， 碳排放量应明确其</w:t>
      </w:r>
      <w:r>
        <w:rPr>
          <w:rFonts w:asciiTheme="minorEastAsia" w:hAnsiTheme="minorEastAsia" w:eastAsiaTheme="minorEastAsia"/>
          <w:sz w:val="24"/>
        </w:rPr>
        <w:t>测量</w:t>
      </w:r>
      <w:r>
        <w:rPr>
          <w:rFonts w:hint="eastAsia" w:asciiTheme="minorEastAsia" w:hAnsiTheme="minorEastAsia" w:eastAsiaTheme="minorEastAsia"/>
          <w:sz w:val="24"/>
        </w:rPr>
        <w:t>不确定度。</w:t>
      </w:r>
    </w:p>
    <w:p w14:paraId="6863FFB8">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重点排放单位应将碳排放计量数据作为统计调查、统计分析和报告的基础，碳统计报表数据应能追溯至计量采集记录或权威机构的发布。</w:t>
      </w:r>
    </w:p>
    <w:p w14:paraId="5D271285">
      <w:pPr>
        <w:pStyle w:val="47"/>
      </w:pPr>
      <w:bookmarkStart w:id="95" w:name="_Toc28597"/>
      <w:bookmarkStart w:id="96" w:name="_Toc9344"/>
      <w:bookmarkStart w:id="97" w:name="_Toc1534"/>
      <w:bookmarkStart w:id="98" w:name="_Toc28337"/>
      <w:bookmarkStart w:id="99" w:name="_Toc350158482"/>
      <w:bookmarkStart w:id="100" w:name="_Toc353651474"/>
      <w:r>
        <w:rPr>
          <w:rFonts w:hint="eastAsia"/>
        </w:rPr>
        <w:t xml:space="preserve">8  </w:t>
      </w:r>
      <w:bookmarkEnd w:id="95"/>
      <w:bookmarkEnd w:id="96"/>
      <w:bookmarkEnd w:id="97"/>
      <w:bookmarkEnd w:id="98"/>
      <w:r>
        <w:rPr>
          <w:rFonts w:hint="eastAsia"/>
        </w:rPr>
        <w:t>温室气体排放核查报告</w:t>
      </w:r>
    </w:p>
    <w:p w14:paraId="6ACCD101">
      <w:pPr>
        <w:spacing w:line="360" w:lineRule="auto"/>
        <w:ind w:firstLine="480" w:firstLineChars="200"/>
        <w:outlineLvl w:val="1"/>
        <w:rPr>
          <w:rFonts w:asciiTheme="minorEastAsia" w:hAnsiTheme="minorEastAsia" w:eastAsiaTheme="minorEastAsia"/>
          <w:sz w:val="24"/>
        </w:rPr>
      </w:pPr>
      <w:bookmarkStart w:id="101" w:name="_Toc20945"/>
      <w:bookmarkStart w:id="102" w:name="_Toc5988"/>
      <w:bookmarkStart w:id="103" w:name="_Toc21932"/>
      <w:bookmarkStart w:id="104" w:name="_Toc30800"/>
      <w:r>
        <w:rPr>
          <w:rFonts w:hint="eastAsia" w:asciiTheme="minorEastAsia" w:hAnsiTheme="minorEastAsia" w:eastAsiaTheme="minorEastAsia"/>
          <w:sz w:val="24"/>
        </w:rPr>
        <w:t>重点排放单位应提供温室气体排放核查报告。温室气体排放核查报告至少应包括：报告主体基本信息、温室气体排放量、活动数据及来源、排放因子数据及来源。</w:t>
      </w:r>
    </w:p>
    <w:bookmarkEnd w:id="99"/>
    <w:bookmarkEnd w:id="100"/>
    <w:bookmarkEnd w:id="101"/>
    <w:bookmarkEnd w:id="102"/>
    <w:bookmarkEnd w:id="103"/>
    <w:bookmarkEnd w:id="104"/>
    <w:p w14:paraId="7C92043E">
      <w:pPr>
        <w:pStyle w:val="47"/>
      </w:pPr>
      <w:bookmarkStart w:id="105" w:name="_Toc6053"/>
      <w:bookmarkStart w:id="106" w:name="_Toc350158483"/>
      <w:bookmarkStart w:id="107" w:name="_Toc15552"/>
      <w:bookmarkStart w:id="108" w:name="_Toc353651475"/>
      <w:bookmarkStart w:id="109" w:name="_Toc21925"/>
      <w:bookmarkStart w:id="110" w:name="_Toc4615"/>
      <w:r>
        <w:rPr>
          <w:rFonts w:hint="eastAsia"/>
        </w:rPr>
        <w:t xml:space="preserve">9  </w:t>
      </w:r>
      <w:bookmarkEnd w:id="105"/>
      <w:bookmarkEnd w:id="106"/>
      <w:bookmarkEnd w:id="107"/>
      <w:bookmarkEnd w:id="108"/>
      <w:bookmarkEnd w:id="109"/>
      <w:bookmarkEnd w:id="110"/>
      <w:r>
        <w:rPr>
          <w:rFonts w:hint="eastAsia"/>
        </w:rPr>
        <w:t>碳达峰计划</w:t>
      </w:r>
    </w:p>
    <w:p w14:paraId="2E44B5A1">
      <w:pPr>
        <w:spacing w:line="360" w:lineRule="auto"/>
        <w:ind w:firstLine="480"/>
        <w:outlineLvl w:val="0"/>
        <w:rPr>
          <w:rFonts w:ascii="宋体" w:hAnsi="宋体"/>
          <w:sz w:val="24"/>
        </w:rPr>
      </w:pPr>
      <w:r>
        <w:rPr>
          <w:rFonts w:hint="eastAsia" w:ascii="宋体" w:hAnsi="宋体"/>
          <w:sz w:val="24"/>
        </w:rPr>
        <w:t>重点排放单位应制定本单位的碳达峰计划，碳达峰计划由最高管理者授权发布。</w:t>
      </w:r>
    </w:p>
    <w:p w14:paraId="19EA9FB6">
      <w:pPr>
        <w:pStyle w:val="47"/>
      </w:pPr>
      <w:r>
        <w:t>10</w:t>
      </w:r>
      <w:r>
        <w:rPr>
          <w:rFonts w:hint="eastAsia"/>
        </w:rPr>
        <w:t xml:space="preserve">  碳排放计量审查</w:t>
      </w:r>
    </w:p>
    <w:p w14:paraId="5D96B706">
      <w:pPr>
        <w:pStyle w:val="47"/>
        <w:ind w:firstLine="480" w:firstLineChars="200"/>
        <w:rPr>
          <w:b w:val="0"/>
        </w:rPr>
      </w:pPr>
      <w:r>
        <w:rPr>
          <w:rFonts w:hint="eastAsia"/>
          <w:b w:val="0"/>
        </w:rPr>
        <w:t>政府行政主管部门组织审查组按照本规范要求，对重点排放单位碳排放计量工作进行审查，出具《重点排放单位碳排放计量审查报告》。《重点排放单位碳排放计量审查报告》应至少包含审查主体、审查内容和审查意见等内容。</w:t>
      </w:r>
    </w:p>
    <w:p w14:paraId="533219B5">
      <w:pPr>
        <w:snapToGrid w:val="0"/>
        <w:spacing w:line="460" w:lineRule="exact"/>
        <w:outlineLvl w:val="1"/>
        <w:rPr>
          <w:rFonts w:ascii="宋体" w:hAnsi="宋体"/>
          <w:sz w:val="24"/>
        </w:rPr>
      </w:pPr>
      <w:r>
        <w:rPr>
          <w:rFonts w:hint="eastAsia"/>
        </w:rPr>
        <w:t>1</w:t>
      </w:r>
      <w:r>
        <w:rPr>
          <w:rFonts w:hint="eastAsia" w:ascii="宋体" w:hAnsi="宋体"/>
          <w:sz w:val="24"/>
        </w:rPr>
        <w:t>0.1</w:t>
      </w:r>
      <w:r>
        <w:rPr>
          <w:rFonts w:ascii="宋体" w:hAnsi="宋体"/>
          <w:sz w:val="24"/>
        </w:rPr>
        <w:t xml:space="preserve">  </w:t>
      </w:r>
      <w:r>
        <w:rPr>
          <w:rFonts w:hint="eastAsia" w:ascii="宋体" w:hAnsi="宋体"/>
          <w:sz w:val="24"/>
        </w:rPr>
        <w:t>审查原则</w:t>
      </w:r>
    </w:p>
    <w:p w14:paraId="5B564A06">
      <w:pPr>
        <w:snapToGrid w:val="0"/>
        <w:spacing w:line="460" w:lineRule="exact"/>
        <w:ind w:firstLine="480" w:firstLineChars="200"/>
        <w:outlineLvl w:val="1"/>
        <w:rPr>
          <w:rFonts w:ascii="宋体" w:hAnsi="宋体"/>
          <w:sz w:val="24"/>
        </w:rPr>
      </w:pPr>
      <w:r>
        <w:rPr>
          <w:rFonts w:hint="eastAsia" w:ascii="宋体" w:hAnsi="宋体"/>
          <w:sz w:val="24"/>
        </w:rPr>
        <w:t>1） 独立、公正、保密的原则；</w:t>
      </w:r>
    </w:p>
    <w:p w14:paraId="0BDF8F62">
      <w:pPr>
        <w:snapToGrid w:val="0"/>
        <w:spacing w:line="460" w:lineRule="exact"/>
        <w:ind w:firstLine="480" w:firstLineChars="200"/>
        <w:outlineLvl w:val="1"/>
        <w:rPr>
          <w:rFonts w:ascii="宋体" w:hAnsi="宋体"/>
          <w:sz w:val="24"/>
        </w:rPr>
      </w:pPr>
      <w:r>
        <w:rPr>
          <w:rFonts w:hint="eastAsia" w:ascii="宋体" w:hAnsi="宋体"/>
          <w:sz w:val="24"/>
        </w:rPr>
        <w:t>2） 基于证据的方法原则；</w:t>
      </w:r>
    </w:p>
    <w:p w14:paraId="48D04E11">
      <w:pPr>
        <w:snapToGrid w:val="0"/>
        <w:spacing w:line="460" w:lineRule="exact"/>
        <w:ind w:firstLine="480" w:firstLineChars="200"/>
        <w:outlineLvl w:val="1"/>
        <w:rPr>
          <w:rFonts w:ascii="宋体" w:hAnsi="宋体"/>
          <w:sz w:val="24"/>
        </w:rPr>
      </w:pPr>
      <w:r>
        <w:rPr>
          <w:rFonts w:hint="eastAsia" w:ascii="宋体" w:hAnsi="宋体"/>
          <w:sz w:val="24"/>
        </w:rPr>
        <w:t>3） 遵循国家温室气体排放核算方法与报告指南的原则；</w:t>
      </w:r>
    </w:p>
    <w:p w14:paraId="6076F6D6">
      <w:pPr>
        <w:snapToGrid w:val="0"/>
        <w:spacing w:line="460" w:lineRule="exact"/>
        <w:ind w:firstLine="480" w:firstLineChars="200"/>
        <w:outlineLvl w:val="1"/>
        <w:rPr>
          <w:b/>
          <w:bCs/>
        </w:rPr>
      </w:pPr>
      <w:r>
        <w:rPr>
          <w:rFonts w:hint="eastAsia" w:ascii="宋体" w:hAnsi="宋体"/>
          <w:sz w:val="24"/>
        </w:rPr>
        <w:t>4） 参与碳排放核算（核查）的计量数据可溯源的原则；</w:t>
      </w:r>
    </w:p>
    <w:p w14:paraId="55F60D34">
      <w:pPr>
        <w:pStyle w:val="47"/>
        <w:rPr>
          <w:b w:val="0"/>
        </w:rPr>
      </w:pPr>
      <w:r>
        <w:rPr>
          <w:rFonts w:hint="eastAsia"/>
          <w:b w:val="0"/>
        </w:rPr>
        <w:t>10.2</w:t>
      </w:r>
      <w:r>
        <w:rPr>
          <w:b w:val="0"/>
        </w:rPr>
        <w:t xml:space="preserve">  </w:t>
      </w:r>
      <w:r>
        <w:rPr>
          <w:rFonts w:hint="eastAsia"/>
          <w:b w:val="0"/>
        </w:rPr>
        <w:t>审查组织</w:t>
      </w:r>
    </w:p>
    <w:p w14:paraId="66103843">
      <w:pPr>
        <w:pStyle w:val="47"/>
        <w:ind w:firstLine="480" w:firstLineChars="200"/>
        <w:rPr>
          <w:b w:val="0"/>
        </w:rPr>
      </w:pPr>
      <w:r>
        <w:rPr>
          <w:rFonts w:hint="eastAsia"/>
          <w:b w:val="0"/>
        </w:rPr>
        <w:t>政府计量行政部门按照有关规定，组织审查组，对照本规范要求，对重点排放单位碳排放计量进行审查。碳排放计量审查组由组长和相关技术专家组成。审查组实行组长负责制。碳排放计量审查包括资料审查和现场审查两种方式。</w:t>
      </w:r>
    </w:p>
    <w:p w14:paraId="78247B07">
      <w:pPr>
        <w:pStyle w:val="47"/>
        <w:rPr>
          <w:b w:val="0"/>
        </w:rPr>
      </w:pPr>
      <w:r>
        <w:rPr>
          <w:b w:val="0"/>
        </w:rPr>
        <w:t xml:space="preserve">10.3  </w:t>
      </w:r>
      <w:r>
        <w:rPr>
          <w:rFonts w:hint="eastAsia"/>
          <w:b w:val="0"/>
        </w:rPr>
        <w:t>审查方法</w:t>
      </w:r>
    </w:p>
    <w:p w14:paraId="5D3D7E1A">
      <w:pPr>
        <w:spacing w:line="360" w:lineRule="auto"/>
        <w:ind w:firstLine="480"/>
        <w:outlineLvl w:val="0"/>
        <w:rPr>
          <w:rFonts w:asciiTheme="minorEastAsia" w:hAnsiTheme="minorEastAsia" w:eastAsiaTheme="minorEastAsia"/>
          <w:sz w:val="24"/>
        </w:rPr>
      </w:pPr>
      <w:r>
        <w:rPr>
          <w:rFonts w:hint="eastAsia" w:asciiTheme="minorEastAsia" w:hAnsiTheme="minorEastAsia" w:eastAsiaTheme="minorEastAsia"/>
          <w:sz w:val="24"/>
        </w:rPr>
        <w:t>以国家发布的温室气体排放核算方法与报告指南中所需活动数据、排放因子为主线，对碳排放计量器具配备与管理、碳排放计量数据、碳排放计量人员、碳排放计量管理制度等是否符合要求进行审查，碳排放量核算报告中包含的碳排放计量数据及过程应得到有效控制。</w:t>
      </w:r>
    </w:p>
    <w:p w14:paraId="26B680FB">
      <w:pPr>
        <w:pStyle w:val="47"/>
        <w:rPr>
          <w:b w:val="0"/>
        </w:rPr>
      </w:pPr>
      <w:r>
        <w:rPr>
          <w:rFonts w:hint="eastAsia"/>
          <w:b w:val="0"/>
        </w:rPr>
        <w:t>10.4</w:t>
      </w:r>
      <w:r>
        <w:rPr>
          <w:b w:val="0"/>
        </w:rPr>
        <w:t xml:space="preserve">  </w:t>
      </w:r>
      <w:r>
        <w:rPr>
          <w:rFonts w:hint="eastAsia"/>
          <w:b w:val="0"/>
        </w:rPr>
        <w:t>碳排放单位准备</w:t>
      </w:r>
    </w:p>
    <w:p w14:paraId="7725C926">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接到政府计量行政部门关于碳排放计量审查的通知后，重点排放单位应按要求报送以下自查资料：</w:t>
      </w:r>
    </w:p>
    <w:p w14:paraId="418F6655">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1）本单位基本情况和组织机构设置框图；</w:t>
      </w:r>
    </w:p>
    <w:p w14:paraId="0C4E16F7">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2）碳排放计量工作自查报告；</w:t>
      </w:r>
    </w:p>
    <w:p w14:paraId="56D3E4F5">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3）碳排放计量管理制度；</w:t>
      </w:r>
    </w:p>
    <w:p w14:paraId="448AB946">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4）碳排放计量器具配备和使用情况表</w:t>
      </w:r>
    </w:p>
    <w:p w14:paraId="7AA0CF6E">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5) 碳排放计量人员一览表及任职证明文件；</w:t>
      </w:r>
    </w:p>
    <w:p w14:paraId="0190B0AB">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6）碳排放计量器具汇总表；</w:t>
      </w:r>
    </w:p>
    <w:p w14:paraId="07407C9C">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7）碳排放计量器具准确度等级统计表；</w:t>
      </w:r>
    </w:p>
    <w:p w14:paraId="242EBB92">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8）碳排放计量器具配备及计量点网络图；</w:t>
      </w:r>
    </w:p>
    <w:p w14:paraId="4AF0BAF6">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进行现场审查时，重点排放单位应处于正常生产状态。</w:t>
      </w:r>
    </w:p>
    <w:p w14:paraId="007D5442">
      <w:pPr>
        <w:pStyle w:val="47"/>
        <w:rPr>
          <w:b w:val="0"/>
        </w:rPr>
      </w:pPr>
      <w:r>
        <w:rPr>
          <w:b w:val="0"/>
        </w:rPr>
        <w:t xml:space="preserve">10.5  </w:t>
      </w:r>
      <w:r>
        <w:rPr>
          <w:rFonts w:hint="eastAsia"/>
          <w:b w:val="0"/>
        </w:rPr>
        <w:t>现场审查</w:t>
      </w:r>
    </w:p>
    <w:p w14:paraId="7023D032">
      <w:pPr>
        <w:pStyle w:val="47"/>
        <w:ind w:firstLine="480" w:firstLineChars="200"/>
        <w:rPr>
          <w:b w:val="0"/>
        </w:rPr>
      </w:pPr>
      <w:r>
        <w:rPr>
          <w:rFonts w:hint="eastAsia"/>
          <w:b w:val="0"/>
        </w:rPr>
        <w:t>审查组在资料审查基础上，依照本规范制定现场审查计划并通知被审查单位做好准备。审查计划包括审查目的、审查内容、审查程序、审查时间、审查人员分工、审查要求等内容。现场审查采取资料审核、抽样调查、现场观察、现场提问、现场检测等方式进行。</w:t>
      </w:r>
    </w:p>
    <w:p w14:paraId="5F08E7C0">
      <w:pPr>
        <w:pStyle w:val="47"/>
        <w:rPr>
          <w:b w:val="0"/>
        </w:rPr>
      </w:pPr>
      <w:r>
        <w:rPr>
          <w:b w:val="0"/>
        </w:rPr>
        <w:t xml:space="preserve">10.6  </w:t>
      </w:r>
      <w:r>
        <w:rPr>
          <w:rFonts w:hint="eastAsia"/>
          <w:b w:val="0"/>
        </w:rPr>
        <w:t>审查结果处理</w:t>
      </w:r>
    </w:p>
    <w:p w14:paraId="28CABF56">
      <w:pPr>
        <w:pStyle w:val="47"/>
        <w:rPr>
          <w:b w:val="0"/>
        </w:rPr>
      </w:pPr>
      <w:r>
        <w:rPr>
          <w:rFonts w:hint="eastAsia"/>
          <w:b w:val="0"/>
        </w:rPr>
        <w:t>10.6.1 重点排放单位碳排放计量审查结束后，审查组向组织审查的政府计量行政部门提交《重点排放单位碳排放计量审查报告》、《审查情况汇总表》、《重点排放单位碳排放计量审查不符合项报告》等资料。</w:t>
      </w:r>
    </w:p>
    <w:p w14:paraId="4B1D81A0">
      <w:pPr>
        <w:pStyle w:val="47"/>
        <w:rPr>
          <w:b w:val="0"/>
        </w:rPr>
      </w:pPr>
      <w:r>
        <w:rPr>
          <w:rFonts w:hint="eastAsia"/>
          <w:b w:val="0"/>
        </w:rPr>
        <w:t>10.6.2 政府计量行政部门根据审查组提交的审查资料，下达重点排放单位碳排放计量审查结果告知书，对审查结论为“基本符合规范要求，需要整改”的，责令其对审查不符合项进行限期整改。</w:t>
      </w:r>
    </w:p>
    <w:p w14:paraId="4337D235">
      <w:pPr>
        <w:pStyle w:val="47"/>
        <w:rPr>
          <w:b w:val="0"/>
        </w:rPr>
      </w:pPr>
      <w:r>
        <w:rPr>
          <w:rFonts w:hint="eastAsia"/>
          <w:b w:val="0"/>
        </w:rPr>
        <w:t>10.6.3 政府计量行政部门组织审查组对重点排放单位整改情况进行资料或现场确认。对整改后仍不符合要求或拒绝整改的，按相关法律法规的规定处理。</w:t>
      </w:r>
    </w:p>
    <w:p w14:paraId="32A6A7AF">
      <w:pPr>
        <w:autoSpaceDE w:val="0"/>
        <w:autoSpaceDN w:val="0"/>
        <w:adjustRightInd w:val="0"/>
        <w:ind w:firstLine="562"/>
        <w:jc w:val="center"/>
      </w:pPr>
      <w:r>
        <w:rPr>
          <w:rFonts w:eastAsia="仿宋"/>
          <w:b/>
          <w:bCs/>
          <w:sz w:val="28"/>
          <w:szCs w:val="28"/>
        </w:rPr>
        <w:t>______________________</w:t>
      </w:r>
    </w:p>
    <w:sectPr>
      <w:headerReference r:id="rId7" w:type="default"/>
      <w:footerReference r:id="rId8" w:type="default"/>
      <w:pgSz w:w="11906" w:h="16838"/>
      <w:pgMar w:top="1440" w:right="1134" w:bottom="1440" w:left="1134" w:header="567" w:footer="0" w:gutter="0"/>
      <w:pgNumType w:start="1"/>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方正小标宋_GBK">
    <w:altName w:val="微软雅黑"/>
    <w:panose1 w:val="03000509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华文细黑">
    <w:panose1 w:val="02010600040101010101"/>
    <w:charset w:val="86"/>
    <w:family w:val="auto"/>
    <w:pitch w:val="default"/>
    <w:sig w:usb0="00000287" w:usb1="080F0000" w:usb2="00000000" w:usb3="00000000" w:csb0="0004009F" w:csb1="DFD70000"/>
  </w:font>
  <w:font w:name="方正小标宋简体">
    <w:altName w:val="方正舒体"/>
    <w:panose1 w:val="02000000000000000000"/>
    <w:charset w:val="86"/>
    <w:family w:val="auto"/>
    <w:pitch w:val="default"/>
    <w:sig w:usb0="00000000" w:usb1="00000000" w:usb2="00000012" w:usb3="00000000" w:csb0="00040001" w:csb1="00000000"/>
  </w:font>
  <w:font w:name="方正舒体">
    <w:panose1 w:val="02010601030101010101"/>
    <w:charset w:val="86"/>
    <w:family w:val="auto"/>
    <w:pitch w:val="default"/>
    <w:sig w:usb0="00000003"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2F047D">
    <w:pPr>
      <w:pStyle w:val="19"/>
    </w:pPr>
    <w:r>
      <w:fldChar w:fldCharType="begin"/>
    </w:r>
    <w:r>
      <w:rPr>
        <w:rStyle w:val="32"/>
      </w:rPr>
      <w:instrText xml:space="preserve"> PAGE </w:instrText>
    </w:r>
    <w:r>
      <w:fldChar w:fldCharType="separate"/>
    </w:r>
    <w:r>
      <w:rPr>
        <w:rStyle w:val="32"/>
      </w:rPr>
      <w:t>I</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21F6A7">
    <w:pPr>
      <w:pStyle w:val="19"/>
      <w:ind w:firstLine="480"/>
    </w:pPr>
    <w:r>
      <w:fldChar w:fldCharType="begin"/>
    </w:r>
    <w:r>
      <w:rPr>
        <w:rStyle w:val="32"/>
      </w:rPr>
      <w:instrText xml:space="preserve"> PAGE </w:instrText>
    </w:r>
    <w:r>
      <w:fldChar w:fldCharType="separate"/>
    </w:r>
    <w:r>
      <w:rPr>
        <w:rStyle w:val="32"/>
      </w:rPr>
      <w:t>2</w:t>
    </w:r>
    <w:r>
      <w:fldChar w:fldCharType="end"/>
    </w:r>
  </w:p>
  <w:p w14:paraId="36B7A5B7">
    <w:pPr>
      <w:pStyle w:val="19"/>
      <w:ind w:firstLine="480"/>
    </w:pPr>
  </w:p>
  <w:p w14:paraId="1476DC06">
    <w:pPr>
      <w:ind w:firstLine="420"/>
    </w:pPr>
  </w:p>
  <w:p w14:paraId="437DDCB5">
    <w:pPr>
      <w:ind w:firstLine="420"/>
    </w:pPr>
  </w:p>
  <w:p w14:paraId="4C763036">
    <w:pPr>
      <w:ind w:firstLine="420"/>
    </w:pPr>
  </w:p>
  <w:p w14:paraId="5E335BC6"/>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26410F">
    <w:pPr>
      <w:pStyle w:val="2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B4F4D6">
    <w:pPr>
      <w:pStyle w:val="20"/>
      <w:rPr>
        <w:rFonts w:hint="eastAsia" w:ascii="黑体" w:eastAsia="黑体"/>
        <w:lang w:eastAsia="zh-CN"/>
      </w:rPr>
    </w:pPr>
    <w:r>
      <w:rPr>
        <w:rFonts w:hint="eastAsia" w:ascii="黑体" w:eastAsia="黑体"/>
        <w:sz w:val="21"/>
        <w:szCs w:val="21"/>
      </w:rPr>
      <w:t xml:space="preserve">JJF（皖） </w:t>
    </w:r>
    <w:r>
      <w:rPr>
        <w:rFonts w:ascii="黑体" w:eastAsia="黑体"/>
        <w:sz w:val="21"/>
        <w:szCs w:val="21"/>
      </w:rPr>
      <w:t>**</w:t>
    </w:r>
    <w:r>
      <w:rPr>
        <w:rFonts w:hint="eastAsia" w:ascii="黑体" w:hAnsi="宋体" w:eastAsia="黑体" w:cs="黑体"/>
        <w:kern w:val="0"/>
        <w:sz w:val="21"/>
        <w:szCs w:val="21"/>
      </w:rPr>
      <w:t>—202</w:t>
    </w:r>
    <w:r>
      <w:rPr>
        <w:rFonts w:hint="eastAsia" w:ascii="黑体" w:hAnsi="宋体" w:eastAsia="黑体" w:cs="黑体"/>
        <w:kern w:val="0"/>
        <w:sz w:val="21"/>
        <w:szCs w:val="21"/>
        <w:lang w:val="en-US" w:eastAsia="zh-CN"/>
      </w:rPr>
      <w:t>5</w:t>
    </w:r>
  </w:p>
  <w:p w14:paraId="742BFB71">
    <w:pPr>
      <w:pStyle w:val="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CF1977">
    <w:pPr>
      <w:pStyle w:val="20"/>
      <w:rPr>
        <w:rFonts w:hint="eastAsia" w:ascii="黑体" w:eastAsia="黑体"/>
        <w:lang w:eastAsia="zh-CN"/>
      </w:rPr>
    </w:pPr>
    <w:r>
      <w:rPr>
        <w:rFonts w:hint="eastAsia" w:ascii="黑体" w:eastAsia="黑体"/>
        <w:sz w:val="21"/>
        <w:szCs w:val="21"/>
      </w:rPr>
      <w:t xml:space="preserve">JJF（皖） </w:t>
    </w:r>
    <w:r>
      <w:rPr>
        <w:rFonts w:ascii="黑体" w:eastAsia="黑体"/>
        <w:sz w:val="21"/>
        <w:szCs w:val="21"/>
      </w:rPr>
      <w:t>**</w:t>
    </w:r>
    <w:r>
      <w:rPr>
        <w:rFonts w:hint="eastAsia" w:ascii="黑体" w:hAnsi="宋体" w:eastAsia="黑体" w:cs="黑体"/>
        <w:kern w:val="0"/>
        <w:sz w:val="21"/>
        <w:szCs w:val="21"/>
      </w:rPr>
      <w:t>—202</w:t>
    </w:r>
    <w:r>
      <w:rPr>
        <w:rFonts w:hint="eastAsia" w:ascii="黑体" w:hAnsi="宋体" w:eastAsia="黑体" w:cs="黑体"/>
        <w:kern w:val="0"/>
        <w:sz w:val="21"/>
        <w:szCs w:val="21"/>
        <w:lang w:val="en-US" w:eastAsia="zh-CN"/>
      </w:rPr>
      <w:t>5</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B0FD99">
    <w:pPr>
      <w:pStyle w:val="20"/>
      <w:ind w:firstLine="420"/>
      <w:rPr>
        <w:rFonts w:hint="eastAsia" w:eastAsia="黑体"/>
        <w:lang w:eastAsia="zh-CN"/>
      </w:rPr>
    </w:pPr>
    <w:r>
      <w:rPr>
        <w:rFonts w:hint="eastAsia" w:ascii="黑体" w:eastAsia="黑体"/>
        <w:sz w:val="21"/>
        <w:szCs w:val="21"/>
      </w:rPr>
      <w:t xml:space="preserve">JJF（皖） </w:t>
    </w:r>
    <w:r>
      <w:rPr>
        <w:rFonts w:ascii="黑体" w:eastAsia="黑体"/>
        <w:sz w:val="21"/>
        <w:szCs w:val="21"/>
      </w:rPr>
      <w:t>**</w:t>
    </w:r>
    <w:r>
      <w:rPr>
        <w:rFonts w:hint="eastAsia" w:ascii="黑体" w:hAnsi="宋体" w:eastAsia="黑体" w:cs="黑体"/>
        <w:kern w:val="0"/>
        <w:sz w:val="21"/>
        <w:szCs w:val="21"/>
      </w:rPr>
      <w:t>—202</w:t>
    </w:r>
    <w:r>
      <w:rPr>
        <w:rFonts w:hint="eastAsia" w:ascii="黑体" w:hAnsi="宋体" w:eastAsia="黑体" w:cs="黑体"/>
        <w:kern w:val="0"/>
        <w:sz w:val="21"/>
        <w:szCs w:val="21"/>
        <w:lang w:val="en-US" w:eastAsia="zh-CN"/>
      </w:rPr>
      <w:t>5</w:t>
    </w:r>
  </w:p>
  <w:p w14:paraId="5BE88AC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B"/>
    <w:multiLevelType w:val="multilevel"/>
    <w:tmpl w:val="0000000B"/>
    <w:lvl w:ilvl="0" w:tentative="0">
      <w:start w:val="1"/>
      <w:numFmt w:val="none"/>
      <w:pStyle w:val="66"/>
      <w:suff w:val="nothing"/>
      <w:lvlText w:val="%1"/>
      <w:lvlJc w:val="left"/>
      <w:pPr>
        <w:ind w:left="0" w:firstLine="0"/>
      </w:pPr>
      <w:rPr>
        <w:rFonts w:hint="default" w:ascii="Times New Roman" w:hAnsi="Times New Roman"/>
        <w:b/>
        <w:i w:val="0"/>
        <w:sz w:val="21"/>
      </w:rPr>
    </w:lvl>
    <w:lvl w:ilvl="1" w:tentative="0">
      <w:start w:val="1"/>
      <w:numFmt w:val="decimal"/>
      <w:pStyle w:val="56"/>
      <w:suff w:val="nothing"/>
      <w:lvlText w:val="%1%2　"/>
      <w:lvlJc w:val="left"/>
      <w:pPr>
        <w:ind w:left="0" w:firstLine="0"/>
      </w:pPr>
      <w:rPr>
        <w:rFonts w:hint="default" w:ascii="Times New Roman" w:hAnsi="Times New Roman" w:eastAsia="黑体" w:cs="Times New Roman"/>
        <w:b w:val="0"/>
        <w:i w:val="0"/>
        <w:sz w:val="24"/>
        <w:szCs w:val="24"/>
      </w:rPr>
    </w:lvl>
    <w:lvl w:ilvl="2" w:tentative="0">
      <w:start w:val="1"/>
      <w:numFmt w:val="decimal"/>
      <w:pStyle w:val="55"/>
      <w:suff w:val="nothing"/>
      <w:lvlText w:val="%1%2.%3　"/>
      <w:lvlJc w:val="left"/>
      <w:pPr>
        <w:ind w:left="0" w:firstLine="0"/>
      </w:pPr>
      <w:rPr>
        <w:rFonts w:hint="default" w:ascii="Times New Roman" w:hAnsi="Times New Roman" w:eastAsia="宋体" w:cs="Times New Roman"/>
        <w:b w:val="0"/>
        <w:i w:val="0"/>
        <w:sz w:val="24"/>
        <w:szCs w:val="24"/>
      </w:rPr>
    </w:lvl>
    <w:lvl w:ilvl="3" w:tentative="0">
      <w:start w:val="1"/>
      <w:numFmt w:val="decimal"/>
      <w:pStyle w:val="54"/>
      <w:suff w:val="nothing"/>
      <w:lvlText w:val="%1%2.%3.%4　"/>
      <w:lvlJc w:val="left"/>
      <w:pPr>
        <w:ind w:left="0" w:firstLine="0"/>
      </w:pPr>
      <w:rPr>
        <w:rFonts w:hint="default" w:ascii="Times New Roman" w:hAnsi="Times New Roman" w:eastAsia="宋体" w:cs="Times New Roman"/>
        <w:b w:val="0"/>
        <w:i w:val="0"/>
        <w:sz w:val="24"/>
        <w:szCs w:val="24"/>
      </w:rPr>
    </w:lvl>
    <w:lvl w:ilvl="4" w:tentative="0">
      <w:start w:val="1"/>
      <w:numFmt w:val="decimal"/>
      <w:pStyle w:val="53"/>
      <w:suff w:val="nothing"/>
      <w:lvlText w:val="%1%2.%3.%4.%5　"/>
      <w:lvlJc w:val="left"/>
      <w:pPr>
        <w:ind w:left="0" w:firstLine="0"/>
      </w:pPr>
      <w:rPr>
        <w:rFonts w:hint="eastAsia" w:ascii="黑体" w:hAnsi="Times New Roman" w:eastAsia="黑体"/>
        <w:b w:val="0"/>
        <w:i w:val="0"/>
        <w:sz w:val="21"/>
      </w:rPr>
    </w:lvl>
    <w:lvl w:ilvl="5" w:tentative="0">
      <w:start w:val="1"/>
      <w:numFmt w:val="decimal"/>
      <w:pStyle w:val="52"/>
      <w:suff w:val="nothing"/>
      <w:lvlText w:val="%1%2.%3.%4.%5.%6　"/>
      <w:lvlJc w:val="left"/>
      <w:pPr>
        <w:ind w:left="0" w:firstLine="0"/>
      </w:pPr>
      <w:rPr>
        <w:rFonts w:hint="eastAsia" w:ascii="黑体" w:hAnsi="Times New Roman" w:eastAsia="黑体"/>
        <w:b w:val="0"/>
        <w:i w:val="0"/>
        <w:sz w:val="21"/>
      </w:rPr>
    </w:lvl>
    <w:lvl w:ilvl="6" w:tentative="0">
      <w:start w:val="1"/>
      <w:numFmt w:val="decimal"/>
      <w:pStyle w:val="61"/>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6C177485"/>
    <w:multiLevelType w:val="singleLevel"/>
    <w:tmpl w:val="6C177485"/>
    <w:lvl w:ilvl="0" w:tentative="0">
      <w:start w:val="1"/>
      <w:numFmt w:val="decimal"/>
      <w:pStyle w:val="39"/>
      <w:lvlText w:val="%1."/>
      <w:lvlJc w:val="left"/>
      <w:pPr>
        <w:tabs>
          <w:tab w:val="left" w:pos="165"/>
        </w:tabs>
        <w:ind w:left="165" w:hanging="165"/>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c3MTJlNTEzOTM5ZDI4Mzk3OTA2YTc2YmRmZjczYzQifQ=="/>
  </w:docVars>
  <w:rsids>
    <w:rsidRoot w:val="00172A27"/>
    <w:rsid w:val="0000348C"/>
    <w:rsid w:val="00004193"/>
    <w:rsid w:val="00005BA2"/>
    <w:rsid w:val="000068F2"/>
    <w:rsid w:val="00007D7C"/>
    <w:rsid w:val="00007FCF"/>
    <w:rsid w:val="00007FDD"/>
    <w:rsid w:val="00010579"/>
    <w:rsid w:val="00010965"/>
    <w:rsid w:val="0001153E"/>
    <w:rsid w:val="00012344"/>
    <w:rsid w:val="000128BF"/>
    <w:rsid w:val="00012CA4"/>
    <w:rsid w:val="00013F5B"/>
    <w:rsid w:val="0001403D"/>
    <w:rsid w:val="000147BD"/>
    <w:rsid w:val="00015B5A"/>
    <w:rsid w:val="00015F95"/>
    <w:rsid w:val="0001627C"/>
    <w:rsid w:val="00016463"/>
    <w:rsid w:val="00016B5A"/>
    <w:rsid w:val="00017E96"/>
    <w:rsid w:val="00021099"/>
    <w:rsid w:val="000217DC"/>
    <w:rsid w:val="0002258D"/>
    <w:rsid w:val="00023B0A"/>
    <w:rsid w:val="00023F40"/>
    <w:rsid w:val="000244C3"/>
    <w:rsid w:val="0002622E"/>
    <w:rsid w:val="00027034"/>
    <w:rsid w:val="000272A3"/>
    <w:rsid w:val="0003017A"/>
    <w:rsid w:val="00031B9A"/>
    <w:rsid w:val="000325E1"/>
    <w:rsid w:val="00033482"/>
    <w:rsid w:val="00033930"/>
    <w:rsid w:val="0003686F"/>
    <w:rsid w:val="00037A8D"/>
    <w:rsid w:val="0004094A"/>
    <w:rsid w:val="000419C1"/>
    <w:rsid w:val="000419EA"/>
    <w:rsid w:val="00042176"/>
    <w:rsid w:val="00042A38"/>
    <w:rsid w:val="000436D4"/>
    <w:rsid w:val="00043D2B"/>
    <w:rsid w:val="0004516C"/>
    <w:rsid w:val="00046E4E"/>
    <w:rsid w:val="00047757"/>
    <w:rsid w:val="00050308"/>
    <w:rsid w:val="00052796"/>
    <w:rsid w:val="00052B2E"/>
    <w:rsid w:val="00053841"/>
    <w:rsid w:val="00054268"/>
    <w:rsid w:val="0005453A"/>
    <w:rsid w:val="0005457F"/>
    <w:rsid w:val="00055014"/>
    <w:rsid w:val="00056BC2"/>
    <w:rsid w:val="0005750E"/>
    <w:rsid w:val="00061C3E"/>
    <w:rsid w:val="000623BA"/>
    <w:rsid w:val="000633EF"/>
    <w:rsid w:val="00063FAB"/>
    <w:rsid w:val="00064286"/>
    <w:rsid w:val="000644EF"/>
    <w:rsid w:val="0006578D"/>
    <w:rsid w:val="000657F3"/>
    <w:rsid w:val="00065CF3"/>
    <w:rsid w:val="00070664"/>
    <w:rsid w:val="0007098F"/>
    <w:rsid w:val="00070C09"/>
    <w:rsid w:val="00070C14"/>
    <w:rsid w:val="00071BE8"/>
    <w:rsid w:val="00072210"/>
    <w:rsid w:val="00072822"/>
    <w:rsid w:val="0007290A"/>
    <w:rsid w:val="000736E3"/>
    <w:rsid w:val="00075311"/>
    <w:rsid w:val="00075E92"/>
    <w:rsid w:val="00077D5B"/>
    <w:rsid w:val="00082067"/>
    <w:rsid w:val="00084133"/>
    <w:rsid w:val="00084346"/>
    <w:rsid w:val="00084C47"/>
    <w:rsid w:val="0008517A"/>
    <w:rsid w:val="00085324"/>
    <w:rsid w:val="00086624"/>
    <w:rsid w:val="00090249"/>
    <w:rsid w:val="000903E0"/>
    <w:rsid w:val="00091716"/>
    <w:rsid w:val="00091E30"/>
    <w:rsid w:val="00093A95"/>
    <w:rsid w:val="00097C56"/>
    <w:rsid w:val="00097F4E"/>
    <w:rsid w:val="000A2574"/>
    <w:rsid w:val="000A2F66"/>
    <w:rsid w:val="000A4DC8"/>
    <w:rsid w:val="000A5CA8"/>
    <w:rsid w:val="000A73A2"/>
    <w:rsid w:val="000B01EB"/>
    <w:rsid w:val="000B03C0"/>
    <w:rsid w:val="000B13A2"/>
    <w:rsid w:val="000B1B1E"/>
    <w:rsid w:val="000B20DB"/>
    <w:rsid w:val="000B2BFE"/>
    <w:rsid w:val="000B5886"/>
    <w:rsid w:val="000B653D"/>
    <w:rsid w:val="000B6BE9"/>
    <w:rsid w:val="000B7257"/>
    <w:rsid w:val="000B7A93"/>
    <w:rsid w:val="000B7FB7"/>
    <w:rsid w:val="000C0284"/>
    <w:rsid w:val="000C28DC"/>
    <w:rsid w:val="000C35BB"/>
    <w:rsid w:val="000C3670"/>
    <w:rsid w:val="000C43E8"/>
    <w:rsid w:val="000C4A10"/>
    <w:rsid w:val="000C5198"/>
    <w:rsid w:val="000C5858"/>
    <w:rsid w:val="000C5FC0"/>
    <w:rsid w:val="000C7EED"/>
    <w:rsid w:val="000D0450"/>
    <w:rsid w:val="000D1340"/>
    <w:rsid w:val="000D145B"/>
    <w:rsid w:val="000D178A"/>
    <w:rsid w:val="000D2866"/>
    <w:rsid w:val="000D2B43"/>
    <w:rsid w:val="000D3658"/>
    <w:rsid w:val="000D5AFB"/>
    <w:rsid w:val="000D5CC3"/>
    <w:rsid w:val="000D5E4C"/>
    <w:rsid w:val="000D63D0"/>
    <w:rsid w:val="000D63E2"/>
    <w:rsid w:val="000D75EF"/>
    <w:rsid w:val="000E1A6B"/>
    <w:rsid w:val="000E1EB4"/>
    <w:rsid w:val="000E1FC2"/>
    <w:rsid w:val="000E23F2"/>
    <w:rsid w:val="000E24B8"/>
    <w:rsid w:val="000E2980"/>
    <w:rsid w:val="000E333E"/>
    <w:rsid w:val="000E4B57"/>
    <w:rsid w:val="000E511C"/>
    <w:rsid w:val="000E712E"/>
    <w:rsid w:val="000E74FA"/>
    <w:rsid w:val="000E7D15"/>
    <w:rsid w:val="000F0A3B"/>
    <w:rsid w:val="000F1B4A"/>
    <w:rsid w:val="000F1BFA"/>
    <w:rsid w:val="000F1EDB"/>
    <w:rsid w:val="000F3326"/>
    <w:rsid w:val="000F3CAB"/>
    <w:rsid w:val="000F5ADD"/>
    <w:rsid w:val="000F7979"/>
    <w:rsid w:val="000F7CA3"/>
    <w:rsid w:val="001020C0"/>
    <w:rsid w:val="00103922"/>
    <w:rsid w:val="0010478C"/>
    <w:rsid w:val="00105F0B"/>
    <w:rsid w:val="001074DC"/>
    <w:rsid w:val="00107DA9"/>
    <w:rsid w:val="00107F0A"/>
    <w:rsid w:val="001104DE"/>
    <w:rsid w:val="001124D2"/>
    <w:rsid w:val="00114ACB"/>
    <w:rsid w:val="00114DDD"/>
    <w:rsid w:val="00115E3A"/>
    <w:rsid w:val="00115E93"/>
    <w:rsid w:val="00116020"/>
    <w:rsid w:val="00116AC9"/>
    <w:rsid w:val="00117E8A"/>
    <w:rsid w:val="0012097D"/>
    <w:rsid w:val="00121033"/>
    <w:rsid w:val="00121505"/>
    <w:rsid w:val="001223AD"/>
    <w:rsid w:val="00123DA7"/>
    <w:rsid w:val="001244F3"/>
    <w:rsid w:val="00125565"/>
    <w:rsid w:val="00125E61"/>
    <w:rsid w:val="001262DA"/>
    <w:rsid w:val="0012664C"/>
    <w:rsid w:val="00126B4A"/>
    <w:rsid w:val="00126F50"/>
    <w:rsid w:val="00132123"/>
    <w:rsid w:val="00133367"/>
    <w:rsid w:val="00133FEF"/>
    <w:rsid w:val="0013446D"/>
    <w:rsid w:val="00134D60"/>
    <w:rsid w:val="00134F11"/>
    <w:rsid w:val="001352AD"/>
    <w:rsid w:val="001353AC"/>
    <w:rsid w:val="00140311"/>
    <w:rsid w:val="00140F32"/>
    <w:rsid w:val="00142700"/>
    <w:rsid w:val="001445C3"/>
    <w:rsid w:val="00146B29"/>
    <w:rsid w:val="00147BBD"/>
    <w:rsid w:val="001519E3"/>
    <w:rsid w:val="00152741"/>
    <w:rsid w:val="00152EE3"/>
    <w:rsid w:val="001542DB"/>
    <w:rsid w:val="00156E70"/>
    <w:rsid w:val="0015722C"/>
    <w:rsid w:val="00160261"/>
    <w:rsid w:val="00160DFC"/>
    <w:rsid w:val="00161239"/>
    <w:rsid w:val="0016147B"/>
    <w:rsid w:val="00162CAD"/>
    <w:rsid w:val="00163537"/>
    <w:rsid w:val="00163B32"/>
    <w:rsid w:val="00164B59"/>
    <w:rsid w:val="00165945"/>
    <w:rsid w:val="00166332"/>
    <w:rsid w:val="00166AA3"/>
    <w:rsid w:val="00166D44"/>
    <w:rsid w:val="00166E90"/>
    <w:rsid w:val="0016778F"/>
    <w:rsid w:val="0016788B"/>
    <w:rsid w:val="00167AAF"/>
    <w:rsid w:val="00170222"/>
    <w:rsid w:val="001706E0"/>
    <w:rsid w:val="00171A19"/>
    <w:rsid w:val="00172A27"/>
    <w:rsid w:val="00173260"/>
    <w:rsid w:val="00173876"/>
    <w:rsid w:val="00174D81"/>
    <w:rsid w:val="0017516D"/>
    <w:rsid w:val="001779CF"/>
    <w:rsid w:val="0018070C"/>
    <w:rsid w:val="00183827"/>
    <w:rsid w:val="0018455E"/>
    <w:rsid w:val="00186220"/>
    <w:rsid w:val="00186D84"/>
    <w:rsid w:val="00190370"/>
    <w:rsid w:val="00190D53"/>
    <w:rsid w:val="00192FE9"/>
    <w:rsid w:val="0019379A"/>
    <w:rsid w:val="0019597E"/>
    <w:rsid w:val="001967CC"/>
    <w:rsid w:val="001969CB"/>
    <w:rsid w:val="00196A8B"/>
    <w:rsid w:val="001A03B8"/>
    <w:rsid w:val="001A0A2A"/>
    <w:rsid w:val="001A0B5C"/>
    <w:rsid w:val="001A11B2"/>
    <w:rsid w:val="001A1871"/>
    <w:rsid w:val="001A3DC6"/>
    <w:rsid w:val="001A4010"/>
    <w:rsid w:val="001A4185"/>
    <w:rsid w:val="001A4E64"/>
    <w:rsid w:val="001A6A16"/>
    <w:rsid w:val="001A6FD2"/>
    <w:rsid w:val="001B08D6"/>
    <w:rsid w:val="001B171F"/>
    <w:rsid w:val="001B1AAF"/>
    <w:rsid w:val="001B2B06"/>
    <w:rsid w:val="001B30C2"/>
    <w:rsid w:val="001B4184"/>
    <w:rsid w:val="001B5A94"/>
    <w:rsid w:val="001B63E8"/>
    <w:rsid w:val="001B6553"/>
    <w:rsid w:val="001B6571"/>
    <w:rsid w:val="001B69DF"/>
    <w:rsid w:val="001B76B0"/>
    <w:rsid w:val="001C0049"/>
    <w:rsid w:val="001C09D4"/>
    <w:rsid w:val="001C3B56"/>
    <w:rsid w:val="001C49C5"/>
    <w:rsid w:val="001C4E32"/>
    <w:rsid w:val="001C52B6"/>
    <w:rsid w:val="001C54C3"/>
    <w:rsid w:val="001C5708"/>
    <w:rsid w:val="001C6EFF"/>
    <w:rsid w:val="001C7317"/>
    <w:rsid w:val="001C7D1A"/>
    <w:rsid w:val="001D0F2A"/>
    <w:rsid w:val="001D1A72"/>
    <w:rsid w:val="001D1AD3"/>
    <w:rsid w:val="001D1AD8"/>
    <w:rsid w:val="001D2163"/>
    <w:rsid w:val="001D29B5"/>
    <w:rsid w:val="001D2D66"/>
    <w:rsid w:val="001D307E"/>
    <w:rsid w:val="001D3A15"/>
    <w:rsid w:val="001D4174"/>
    <w:rsid w:val="001D435A"/>
    <w:rsid w:val="001D46CD"/>
    <w:rsid w:val="001D5676"/>
    <w:rsid w:val="001D585B"/>
    <w:rsid w:val="001D5890"/>
    <w:rsid w:val="001D59CE"/>
    <w:rsid w:val="001D5CCF"/>
    <w:rsid w:val="001D6358"/>
    <w:rsid w:val="001E02F8"/>
    <w:rsid w:val="001E043B"/>
    <w:rsid w:val="001E05F0"/>
    <w:rsid w:val="001E1636"/>
    <w:rsid w:val="001E1797"/>
    <w:rsid w:val="001E1C77"/>
    <w:rsid w:val="001E2A63"/>
    <w:rsid w:val="001E3210"/>
    <w:rsid w:val="001E3751"/>
    <w:rsid w:val="001E3783"/>
    <w:rsid w:val="001E3A0C"/>
    <w:rsid w:val="001E4014"/>
    <w:rsid w:val="001E44D3"/>
    <w:rsid w:val="001E49DA"/>
    <w:rsid w:val="001E4D1D"/>
    <w:rsid w:val="001E4EC0"/>
    <w:rsid w:val="001E51C7"/>
    <w:rsid w:val="001E6906"/>
    <w:rsid w:val="001E6D24"/>
    <w:rsid w:val="001E71F4"/>
    <w:rsid w:val="001F07E9"/>
    <w:rsid w:val="001F0DF8"/>
    <w:rsid w:val="001F10A9"/>
    <w:rsid w:val="001F183E"/>
    <w:rsid w:val="001F18F2"/>
    <w:rsid w:val="001F1FAC"/>
    <w:rsid w:val="001F2126"/>
    <w:rsid w:val="001F3E08"/>
    <w:rsid w:val="001F658D"/>
    <w:rsid w:val="0020044D"/>
    <w:rsid w:val="0020062E"/>
    <w:rsid w:val="00201238"/>
    <w:rsid w:val="00201963"/>
    <w:rsid w:val="002029B4"/>
    <w:rsid w:val="00202E77"/>
    <w:rsid w:val="002053FB"/>
    <w:rsid w:val="00211323"/>
    <w:rsid w:val="00211F33"/>
    <w:rsid w:val="00212773"/>
    <w:rsid w:val="00212D71"/>
    <w:rsid w:val="0021393B"/>
    <w:rsid w:val="002142EB"/>
    <w:rsid w:val="002143B5"/>
    <w:rsid w:val="00215031"/>
    <w:rsid w:val="002150E8"/>
    <w:rsid w:val="002158F1"/>
    <w:rsid w:val="00215A5B"/>
    <w:rsid w:val="002175CA"/>
    <w:rsid w:val="00220936"/>
    <w:rsid w:val="00220EA8"/>
    <w:rsid w:val="00220F18"/>
    <w:rsid w:val="00221C89"/>
    <w:rsid w:val="00222F1B"/>
    <w:rsid w:val="00223DB3"/>
    <w:rsid w:val="00224CCF"/>
    <w:rsid w:val="00224F3C"/>
    <w:rsid w:val="00226C85"/>
    <w:rsid w:val="00230E54"/>
    <w:rsid w:val="00234393"/>
    <w:rsid w:val="0023494F"/>
    <w:rsid w:val="0023547F"/>
    <w:rsid w:val="0023559E"/>
    <w:rsid w:val="002356E6"/>
    <w:rsid w:val="00235F02"/>
    <w:rsid w:val="002366A6"/>
    <w:rsid w:val="00236CD4"/>
    <w:rsid w:val="00237425"/>
    <w:rsid w:val="00237EA5"/>
    <w:rsid w:val="00240DBE"/>
    <w:rsid w:val="002422B6"/>
    <w:rsid w:val="0024302E"/>
    <w:rsid w:val="00243C95"/>
    <w:rsid w:val="00244B77"/>
    <w:rsid w:val="00245F35"/>
    <w:rsid w:val="00246102"/>
    <w:rsid w:val="00246D95"/>
    <w:rsid w:val="00250F11"/>
    <w:rsid w:val="00251032"/>
    <w:rsid w:val="0025172F"/>
    <w:rsid w:val="00253C0C"/>
    <w:rsid w:val="002542BB"/>
    <w:rsid w:val="002551A6"/>
    <w:rsid w:val="00257C76"/>
    <w:rsid w:val="00257D5D"/>
    <w:rsid w:val="00260CD7"/>
    <w:rsid w:val="002618FA"/>
    <w:rsid w:val="00261D35"/>
    <w:rsid w:val="002623C1"/>
    <w:rsid w:val="00263732"/>
    <w:rsid w:val="0026493F"/>
    <w:rsid w:val="00264D9D"/>
    <w:rsid w:val="00265315"/>
    <w:rsid w:val="00266A8E"/>
    <w:rsid w:val="002707CB"/>
    <w:rsid w:val="002714D0"/>
    <w:rsid w:val="0027418F"/>
    <w:rsid w:val="002744CB"/>
    <w:rsid w:val="002744E5"/>
    <w:rsid w:val="002767F0"/>
    <w:rsid w:val="00277035"/>
    <w:rsid w:val="002802A9"/>
    <w:rsid w:val="00281063"/>
    <w:rsid w:val="00281A98"/>
    <w:rsid w:val="00283183"/>
    <w:rsid w:val="0028335A"/>
    <w:rsid w:val="00283D0B"/>
    <w:rsid w:val="00284683"/>
    <w:rsid w:val="0028526D"/>
    <w:rsid w:val="0028678F"/>
    <w:rsid w:val="00290B3A"/>
    <w:rsid w:val="00292506"/>
    <w:rsid w:val="00292A2C"/>
    <w:rsid w:val="00293E2A"/>
    <w:rsid w:val="002942AB"/>
    <w:rsid w:val="002946ED"/>
    <w:rsid w:val="00296BB4"/>
    <w:rsid w:val="002A0452"/>
    <w:rsid w:val="002A0E67"/>
    <w:rsid w:val="002A0EED"/>
    <w:rsid w:val="002A1B10"/>
    <w:rsid w:val="002A2015"/>
    <w:rsid w:val="002A2FA5"/>
    <w:rsid w:val="002A30C1"/>
    <w:rsid w:val="002A4084"/>
    <w:rsid w:val="002A588A"/>
    <w:rsid w:val="002A5D4A"/>
    <w:rsid w:val="002A6D55"/>
    <w:rsid w:val="002A6F22"/>
    <w:rsid w:val="002B168A"/>
    <w:rsid w:val="002B1CCA"/>
    <w:rsid w:val="002B2049"/>
    <w:rsid w:val="002B2ACD"/>
    <w:rsid w:val="002B4519"/>
    <w:rsid w:val="002B57D3"/>
    <w:rsid w:val="002B5C49"/>
    <w:rsid w:val="002B6781"/>
    <w:rsid w:val="002B7A68"/>
    <w:rsid w:val="002C006A"/>
    <w:rsid w:val="002C08A5"/>
    <w:rsid w:val="002C0DFF"/>
    <w:rsid w:val="002C1609"/>
    <w:rsid w:val="002C19DF"/>
    <w:rsid w:val="002C1E45"/>
    <w:rsid w:val="002C1FD6"/>
    <w:rsid w:val="002C27EA"/>
    <w:rsid w:val="002C2B33"/>
    <w:rsid w:val="002C3D26"/>
    <w:rsid w:val="002C4100"/>
    <w:rsid w:val="002C5125"/>
    <w:rsid w:val="002C5D50"/>
    <w:rsid w:val="002D1C8C"/>
    <w:rsid w:val="002D510E"/>
    <w:rsid w:val="002D538B"/>
    <w:rsid w:val="002D5698"/>
    <w:rsid w:val="002D6ACB"/>
    <w:rsid w:val="002D7068"/>
    <w:rsid w:val="002D7AF4"/>
    <w:rsid w:val="002E1224"/>
    <w:rsid w:val="002E1CCC"/>
    <w:rsid w:val="002E233A"/>
    <w:rsid w:val="002E235B"/>
    <w:rsid w:val="002E25C9"/>
    <w:rsid w:val="002E3759"/>
    <w:rsid w:val="002E3D31"/>
    <w:rsid w:val="002E3D7E"/>
    <w:rsid w:val="002E4303"/>
    <w:rsid w:val="002E4E52"/>
    <w:rsid w:val="002F13C2"/>
    <w:rsid w:val="002F1AE9"/>
    <w:rsid w:val="002F2E00"/>
    <w:rsid w:val="002F4FD6"/>
    <w:rsid w:val="002F5B4E"/>
    <w:rsid w:val="002F624B"/>
    <w:rsid w:val="002F7557"/>
    <w:rsid w:val="002F78E4"/>
    <w:rsid w:val="002F78ED"/>
    <w:rsid w:val="003006C6"/>
    <w:rsid w:val="00303297"/>
    <w:rsid w:val="00303432"/>
    <w:rsid w:val="003034EA"/>
    <w:rsid w:val="003051D2"/>
    <w:rsid w:val="00306813"/>
    <w:rsid w:val="0031125E"/>
    <w:rsid w:val="00311A35"/>
    <w:rsid w:val="00313491"/>
    <w:rsid w:val="00313A3D"/>
    <w:rsid w:val="0031472C"/>
    <w:rsid w:val="003148EC"/>
    <w:rsid w:val="00315E8D"/>
    <w:rsid w:val="00316DEF"/>
    <w:rsid w:val="003174F4"/>
    <w:rsid w:val="0032168D"/>
    <w:rsid w:val="00324AD8"/>
    <w:rsid w:val="00327364"/>
    <w:rsid w:val="003276DB"/>
    <w:rsid w:val="00327ED8"/>
    <w:rsid w:val="00330027"/>
    <w:rsid w:val="00330896"/>
    <w:rsid w:val="0033145B"/>
    <w:rsid w:val="0033146F"/>
    <w:rsid w:val="003316CF"/>
    <w:rsid w:val="0033258F"/>
    <w:rsid w:val="0033275F"/>
    <w:rsid w:val="00333988"/>
    <w:rsid w:val="00333A08"/>
    <w:rsid w:val="00333EE7"/>
    <w:rsid w:val="003349D8"/>
    <w:rsid w:val="003352E9"/>
    <w:rsid w:val="00335C02"/>
    <w:rsid w:val="00336DB7"/>
    <w:rsid w:val="0033715C"/>
    <w:rsid w:val="00337B11"/>
    <w:rsid w:val="00341A3C"/>
    <w:rsid w:val="00341CA5"/>
    <w:rsid w:val="0034307E"/>
    <w:rsid w:val="00343186"/>
    <w:rsid w:val="00343EFE"/>
    <w:rsid w:val="00344533"/>
    <w:rsid w:val="00344EA4"/>
    <w:rsid w:val="00345331"/>
    <w:rsid w:val="00346CB9"/>
    <w:rsid w:val="003470FE"/>
    <w:rsid w:val="00351C9F"/>
    <w:rsid w:val="003538D6"/>
    <w:rsid w:val="00353F83"/>
    <w:rsid w:val="003549F8"/>
    <w:rsid w:val="00354C27"/>
    <w:rsid w:val="003557D4"/>
    <w:rsid w:val="00355BC4"/>
    <w:rsid w:val="00355FB7"/>
    <w:rsid w:val="00356641"/>
    <w:rsid w:val="003568D5"/>
    <w:rsid w:val="00361797"/>
    <w:rsid w:val="00362C3A"/>
    <w:rsid w:val="003643C7"/>
    <w:rsid w:val="00365C02"/>
    <w:rsid w:val="00365CE3"/>
    <w:rsid w:val="00367544"/>
    <w:rsid w:val="003678C0"/>
    <w:rsid w:val="00367B60"/>
    <w:rsid w:val="003737CB"/>
    <w:rsid w:val="00373BFB"/>
    <w:rsid w:val="003769BB"/>
    <w:rsid w:val="003801B2"/>
    <w:rsid w:val="00380DC3"/>
    <w:rsid w:val="00381800"/>
    <w:rsid w:val="0038187D"/>
    <w:rsid w:val="00381D3B"/>
    <w:rsid w:val="00382508"/>
    <w:rsid w:val="003829C0"/>
    <w:rsid w:val="00383315"/>
    <w:rsid w:val="003845CC"/>
    <w:rsid w:val="0038655C"/>
    <w:rsid w:val="00387DE9"/>
    <w:rsid w:val="00387EF8"/>
    <w:rsid w:val="0039092C"/>
    <w:rsid w:val="00391392"/>
    <w:rsid w:val="003928EB"/>
    <w:rsid w:val="00394EAC"/>
    <w:rsid w:val="00395203"/>
    <w:rsid w:val="003952D6"/>
    <w:rsid w:val="003955B8"/>
    <w:rsid w:val="0039658A"/>
    <w:rsid w:val="003967A9"/>
    <w:rsid w:val="0039700E"/>
    <w:rsid w:val="003A0278"/>
    <w:rsid w:val="003A08FF"/>
    <w:rsid w:val="003A106A"/>
    <w:rsid w:val="003A10C7"/>
    <w:rsid w:val="003A1DAE"/>
    <w:rsid w:val="003A2955"/>
    <w:rsid w:val="003A2B88"/>
    <w:rsid w:val="003A3EF8"/>
    <w:rsid w:val="003A4267"/>
    <w:rsid w:val="003A4A33"/>
    <w:rsid w:val="003A5EBA"/>
    <w:rsid w:val="003A690D"/>
    <w:rsid w:val="003B0166"/>
    <w:rsid w:val="003B2170"/>
    <w:rsid w:val="003B3AE1"/>
    <w:rsid w:val="003B40C6"/>
    <w:rsid w:val="003B434E"/>
    <w:rsid w:val="003B5ED5"/>
    <w:rsid w:val="003B6953"/>
    <w:rsid w:val="003B6CCC"/>
    <w:rsid w:val="003B6EE0"/>
    <w:rsid w:val="003B7793"/>
    <w:rsid w:val="003C098C"/>
    <w:rsid w:val="003C1C99"/>
    <w:rsid w:val="003C38AA"/>
    <w:rsid w:val="003C49C4"/>
    <w:rsid w:val="003C5259"/>
    <w:rsid w:val="003C5285"/>
    <w:rsid w:val="003C68F2"/>
    <w:rsid w:val="003C7AEF"/>
    <w:rsid w:val="003C7D9A"/>
    <w:rsid w:val="003D1C42"/>
    <w:rsid w:val="003D20CB"/>
    <w:rsid w:val="003D262E"/>
    <w:rsid w:val="003D2EC0"/>
    <w:rsid w:val="003D39C3"/>
    <w:rsid w:val="003D402D"/>
    <w:rsid w:val="003D4CF1"/>
    <w:rsid w:val="003D619A"/>
    <w:rsid w:val="003D63BC"/>
    <w:rsid w:val="003D75F1"/>
    <w:rsid w:val="003D76CD"/>
    <w:rsid w:val="003E0BB1"/>
    <w:rsid w:val="003E290D"/>
    <w:rsid w:val="003E589A"/>
    <w:rsid w:val="003E6BE5"/>
    <w:rsid w:val="003E703A"/>
    <w:rsid w:val="003E7091"/>
    <w:rsid w:val="003F0C3D"/>
    <w:rsid w:val="003F1629"/>
    <w:rsid w:val="003F2DF7"/>
    <w:rsid w:val="003F2E1A"/>
    <w:rsid w:val="003F645F"/>
    <w:rsid w:val="003F6AE4"/>
    <w:rsid w:val="003F6DDE"/>
    <w:rsid w:val="003F70E9"/>
    <w:rsid w:val="00402F96"/>
    <w:rsid w:val="00404B1F"/>
    <w:rsid w:val="00406097"/>
    <w:rsid w:val="00406775"/>
    <w:rsid w:val="0041063A"/>
    <w:rsid w:val="00410A10"/>
    <w:rsid w:val="00410F56"/>
    <w:rsid w:val="004116FD"/>
    <w:rsid w:val="00411B19"/>
    <w:rsid w:val="00413F82"/>
    <w:rsid w:val="00415744"/>
    <w:rsid w:val="00416AC5"/>
    <w:rsid w:val="00420F4A"/>
    <w:rsid w:val="00421AD2"/>
    <w:rsid w:val="00422848"/>
    <w:rsid w:val="00422A53"/>
    <w:rsid w:val="00423936"/>
    <w:rsid w:val="00423F8A"/>
    <w:rsid w:val="0042437E"/>
    <w:rsid w:val="00425075"/>
    <w:rsid w:val="004256A2"/>
    <w:rsid w:val="00432F4F"/>
    <w:rsid w:val="0043348A"/>
    <w:rsid w:val="0043565B"/>
    <w:rsid w:val="00435CCF"/>
    <w:rsid w:val="00441065"/>
    <w:rsid w:val="004420BE"/>
    <w:rsid w:val="004423CE"/>
    <w:rsid w:val="0044248C"/>
    <w:rsid w:val="00442708"/>
    <w:rsid w:val="00442A9D"/>
    <w:rsid w:val="00443C09"/>
    <w:rsid w:val="00443DFD"/>
    <w:rsid w:val="00444496"/>
    <w:rsid w:val="0044538D"/>
    <w:rsid w:val="00447236"/>
    <w:rsid w:val="004473AD"/>
    <w:rsid w:val="00447829"/>
    <w:rsid w:val="004506EB"/>
    <w:rsid w:val="0045075B"/>
    <w:rsid w:val="00451048"/>
    <w:rsid w:val="004516DF"/>
    <w:rsid w:val="00451C96"/>
    <w:rsid w:val="0045211A"/>
    <w:rsid w:val="00452B40"/>
    <w:rsid w:val="00452C24"/>
    <w:rsid w:val="00454518"/>
    <w:rsid w:val="004551F5"/>
    <w:rsid w:val="00455FE0"/>
    <w:rsid w:val="0045664A"/>
    <w:rsid w:val="00457CF2"/>
    <w:rsid w:val="004602D2"/>
    <w:rsid w:val="00462D10"/>
    <w:rsid w:val="00463B94"/>
    <w:rsid w:val="00463D64"/>
    <w:rsid w:val="004658AD"/>
    <w:rsid w:val="00466550"/>
    <w:rsid w:val="0046701B"/>
    <w:rsid w:val="004679A5"/>
    <w:rsid w:val="00467E7A"/>
    <w:rsid w:val="0047036D"/>
    <w:rsid w:val="00471724"/>
    <w:rsid w:val="004724AC"/>
    <w:rsid w:val="0047296F"/>
    <w:rsid w:val="00474518"/>
    <w:rsid w:val="004755A0"/>
    <w:rsid w:val="00476D65"/>
    <w:rsid w:val="004773B3"/>
    <w:rsid w:val="00477AB3"/>
    <w:rsid w:val="00480E49"/>
    <w:rsid w:val="00480F5A"/>
    <w:rsid w:val="004832BF"/>
    <w:rsid w:val="00485548"/>
    <w:rsid w:val="0048680C"/>
    <w:rsid w:val="00486AD0"/>
    <w:rsid w:val="00486BCE"/>
    <w:rsid w:val="0048743A"/>
    <w:rsid w:val="0048744C"/>
    <w:rsid w:val="0049218D"/>
    <w:rsid w:val="0049229B"/>
    <w:rsid w:val="00492AF3"/>
    <w:rsid w:val="004950BF"/>
    <w:rsid w:val="004951EE"/>
    <w:rsid w:val="00496156"/>
    <w:rsid w:val="00497C56"/>
    <w:rsid w:val="00497DB5"/>
    <w:rsid w:val="00497E3E"/>
    <w:rsid w:val="004A02B0"/>
    <w:rsid w:val="004A2453"/>
    <w:rsid w:val="004A35B6"/>
    <w:rsid w:val="004A42E9"/>
    <w:rsid w:val="004A45AF"/>
    <w:rsid w:val="004A7675"/>
    <w:rsid w:val="004A793D"/>
    <w:rsid w:val="004B1193"/>
    <w:rsid w:val="004B32A9"/>
    <w:rsid w:val="004B4084"/>
    <w:rsid w:val="004B50B2"/>
    <w:rsid w:val="004B63F6"/>
    <w:rsid w:val="004B69C3"/>
    <w:rsid w:val="004B7FDA"/>
    <w:rsid w:val="004C19A1"/>
    <w:rsid w:val="004C23A4"/>
    <w:rsid w:val="004C27E7"/>
    <w:rsid w:val="004C29FB"/>
    <w:rsid w:val="004C2A62"/>
    <w:rsid w:val="004C3271"/>
    <w:rsid w:val="004C412E"/>
    <w:rsid w:val="004C45C2"/>
    <w:rsid w:val="004C49F2"/>
    <w:rsid w:val="004C507A"/>
    <w:rsid w:val="004C5278"/>
    <w:rsid w:val="004C57AB"/>
    <w:rsid w:val="004C71F2"/>
    <w:rsid w:val="004C79DE"/>
    <w:rsid w:val="004C7E62"/>
    <w:rsid w:val="004D276B"/>
    <w:rsid w:val="004D3282"/>
    <w:rsid w:val="004D3767"/>
    <w:rsid w:val="004D390A"/>
    <w:rsid w:val="004D55DB"/>
    <w:rsid w:val="004D5F1A"/>
    <w:rsid w:val="004D6C1E"/>
    <w:rsid w:val="004D6D18"/>
    <w:rsid w:val="004E15B3"/>
    <w:rsid w:val="004E2D97"/>
    <w:rsid w:val="004E3D3B"/>
    <w:rsid w:val="004E5507"/>
    <w:rsid w:val="004E6FA8"/>
    <w:rsid w:val="004E7432"/>
    <w:rsid w:val="004E774A"/>
    <w:rsid w:val="004F0548"/>
    <w:rsid w:val="004F07C1"/>
    <w:rsid w:val="004F0ECB"/>
    <w:rsid w:val="004F10ED"/>
    <w:rsid w:val="004F31AD"/>
    <w:rsid w:val="004F3A13"/>
    <w:rsid w:val="004F5A2F"/>
    <w:rsid w:val="004F65D1"/>
    <w:rsid w:val="004F6BA3"/>
    <w:rsid w:val="004F7D18"/>
    <w:rsid w:val="00501668"/>
    <w:rsid w:val="00501AC6"/>
    <w:rsid w:val="0050247D"/>
    <w:rsid w:val="00502634"/>
    <w:rsid w:val="005035FB"/>
    <w:rsid w:val="00504E65"/>
    <w:rsid w:val="005050BC"/>
    <w:rsid w:val="005060A7"/>
    <w:rsid w:val="00506751"/>
    <w:rsid w:val="00510C08"/>
    <w:rsid w:val="00510F84"/>
    <w:rsid w:val="00513E00"/>
    <w:rsid w:val="0051672C"/>
    <w:rsid w:val="00517839"/>
    <w:rsid w:val="00517AF7"/>
    <w:rsid w:val="005202FC"/>
    <w:rsid w:val="00521870"/>
    <w:rsid w:val="005229A7"/>
    <w:rsid w:val="00523929"/>
    <w:rsid w:val="00524911"/>
    <w:rsid w:val="0052522D"/>
    <w:rsid w:val="00525D18"/>
    <w:rsid w:val="00531992"/>
    <w:rsid w:val="005325BE"/>
    <w:rsid w:val="00532B37"/>
    <w:rsid w:val="005331EB"/>
    <w:rsid w:val="00533222"/>
    <w:rsid w:val="0053510A"/>
    <w:rsid w:val="00537636"/>
    <w:rsid w:val="00537674"/>
    <w:rsid w:val="00537F02"/>
    <w:rsid w:val="005407D3"/>
    <w:rsid w:val="00540BD0"/>
    <w:rsid w:val="00542424"/>
    <w:rsid w:val="00545DA5"/>
    <w:rsid w:val="00546385"/>
    <w:rsid w:val="005474B6"/>
    <w:rsid w:val="00547813"/>
    <w:rsid w:val="00547A16"/>
    <w:rsid w:val="00547E8C"/>
    <w:rsid w:val="00551E71"/>
    <w:rsid w:val="00552F56"/>
    <w:rsid w:val="00555312"/>
    <w:rsid w:val="00555F5E"/>
    <w:rsid w:val="0056062C"/>
    <w:rsid w:val="0056196A"/>
    <w:rsid w:val="005621D4"/>
    <w:rsid w:val="00563BC2"/>
    <w:rsid w:val="00564031"/>
    <w:rsid w:val="005643A6"/>
    <w:rsid w:val="0056561F"/>
    <w:rsid w:val="00565720"/>
    <w:rsid w:val="00565D4A"/>
    <w:rsid w:val="005660E2"/>
    <w:rsid w:val="00567E69"/>
    <w:rsid w:val="005705FF"/>
    <w:rsid w:val="00572E61"/>
    <w:rsid w:val="005739EE"/>
    <w:rsid w:val="00573CAF"/>
    <w:rsid w:val="0057427C"/>
    <w:rsid w:val="00575F9A"/>
    <w:rsid w:val="0057611B"/>
    <w:rsid w:val="00576E5D"/>
    <w:rsid w:val="0057717C"/>
    <w:rsid w:val="00580295"/>
    <w:rsid w:val="005804C8"/>
    <w:rsid w:val="00584567"/>
    <w:rsid w:val="00584F18"/>
    <w:rsid w:val="005853C0"/>
    <w:rsid w:val="00585C17"/>
    <w:rsid w:val="00585DFA"/>
    <w:rsid w:val="0058668C"/>
    <w:rsid w:val="00586DFF"/>
    <w:rsid w:val="00587100"/>
    <w:rsid w:val="00587DE5"/>
    <w:rsid w:val="005902A0"/>
    <w:rsid w:val="005924F9"/>
    <w:rsid w:val="00592BCE"/>
    <w:rsid w:val="005942E3"/>
    <w:rsid w:val="00594DF2"/>
    <w:rsid w:val="0059502B"/>
    <w:rsid w:val="0059598C"/>
    <w:rsid w:val="00595C02"/>
    <w:rsid w:val="005967BD"/>
    <w:rsid w:val="00596B85"/>
    <w:rsid w:val="005970E2"/>
    <w:rsid w:val="00597374"/>
    <w:rsid w:val="005A0B7C"/>
    <w:rsid w:val="005A1C35"/>
    <w:rsid w:val="005A264C"/>
    <w:rsid w:val="005A2759"/>
    <w:rsid w:val="005A2C52"/>
    <w:rsid w:val="005A2DF7"/>
    <w:rsid w:val="005A4559"/>
    <w:rsid w:val="005A4F12"/>
    <w:rsid w:val="005A4F19"/>
    <w:rsid w:val="005A5478"/>
    <w:rsid w:val="005A642D"/>
    <w:rsid w:val="005A6E32"/>
    <w:rsid w:val="005A726C"/>
    <w:rsid w:val="005B087F"/>
    <w:rsid w:val="005B0975"/>
    <w:rsid w:val="005B1796"/>
    <w:rsid w:val="005B2388"/>
    <w:rsid w:val="005B425A"/>
    <w:rsid w:val="005B5769"/>
    <w:rsid w:val="005B6169"/>
    <w:rsid w:val="005B65A8"/>
    <w:rsid w:val="005B6AA6"/>
    <w:rsid w:val="005B6E7E"/>
    <w:rsid w:val="005B7788"/>
    <w:rsid w:val="005C1748"/>
    <w:rsid w:val="005C4121"/>
    <w:rsid w:val="005C5C94"/>
    <w:rsid w:val="005C5F86"/>
    <w:rsid w:val="005C6B49"/>
    <w:rsid w:val="005C79B2"/>
    <w:rsid w:val="005C7D6A"/>
    <w:rsid w:val="005C7DCC"/>
    <w:rsid w:val="005D0677"/>
    <w:rsid w:val="005D089C"/>
    <w:rsid w:val="005D1411"/>
    <w:rsid w:val="005D299C"/>
    <w:rsid w:val="005D426B"/>
    <w:rsid w:val="005D5849"/>
    <w:rsid w:val="005E01C4"/>
    <w:rsid w:val="005E0323"/>
    <w:rsid w:val="005E0963"/>
    <w:rsid w:val="005E115E"/>
    <w:rsid w:val="005E23B3"/>
    <w:rsid w:val="005E25D1"/>
    <w:rsid w:val="005E2AB1"/>
    <w:rsid w:val="005E3F8C"/>
    <w:rsid w:val="005E4420"/>
    <w:rsid w:val="005E54E1"/>
    <w:rsid w:val="005E5D06"/>
    <w:rsid w:val="005E5D9B"/>
    <w:rsid w:val="005E6888"/>
    <w:rsid w:val="005E791A"/>
    <w:rsid w:val="005F1A7C"/>
    <w:rsid w:val="005F1DC3"/>
    <w:rsid w:val="005F2D06"/>
    <w:rsid w:val="005F3573"/>
    <w:rsid w:val="005F3864"/>
    <w:rsid w:val="005F38C7"/>
    <w:rsid w:val="005F45CB"/>
    <w:rsid w:val="005F64AE"/>
    <w:rsid w:val="005F7295"/>
    <w:rsid w:val="005F7429"/>
    <w:rsid w:val="005F76E5"/>
    <w:rsid w:val="005F794A"/>
    <w:rsid w:val="00600B3A"/>
    <w:rsid w:val="00600DFC"/>
    <w:rsid w:val="00603A82"/>
    <w:rsid w:val="00603F0B"/>
    <w:rsid w:val="00605465"/>
    <w:rsid w:val="00605B8D"/>
    <w:rsid w:val="006060AE"/>
    <w:rsid w:val="0060647B"/>
    <w:rsid w:val="006072A5"/>
    <w:rsid w:val="00607B3B"/>
    <w:rsid w:val="00607CAF"/>
    <w:rsid w:val="006102DC"/>
    <w:rsid w:val="006115EC"/>
    <w:rsid w:val="0061173D"/>
    <w:rsid w:val="00611C90"/>
    <w:rsid w:val="0061214C"/>
    <w:rsid w:val="006121D3"/>
    <w:rsid w:val="00612359"/>
    <w:rsid w:val="006125C5"/>
    <w:rsid w:val="00613399"/>
    <w:rsid w:val="0061402E"/>
    <w:rsid w:val="00614E3A"/>
    <w:rsid w:val="006151ED"/>
    <w:rsid w:val="00615EF8"/>
    <w:rsid w:val="0061796F"/>
    <w:rsid w:val="00617E6E"/>
    <w:rsid w:val="006203D8"/>
    <w:rsid w:val="00621FD4"/>
    <w:rsid w:val="00625932"/>
    <w:rsid w:val="006259FF"/>
    <w:rsid w:val="00627168"/>
    <w:rsid w:val="00627B3D"/>
    <w:rsid w:val="00631429"/>
    <w:rsid w:val="006314A4"/>
    <w:rsid w:val="006318FF"/>
    <w:rsid w:val="00631D75"/>
    <w:rsid w:val="0063293C"/>
    <w:rsid w:val="00632B45"/>
    <w:rsid w:val="00635008"/>
    <w:rsid w:val="0063561F"/>
    <w:rsid w:val="00636528"/>
    <w:rsid w:val="00636663"/>
    <w:rsid w:val="006372D6"/>
    <w:rsid w:val="0063747D"/>
    <w:rsid w:val="006379E2"/>
    <w:rsid w:val="006405A1"/>
    <w:rsid w:val="00640ECF"/>
    <w:rsid w:val="00641652"/>
    <w:rsid w:val="00641F11"/>
    <w:rsid w:val="00642507"/>
    <w:rsid w:val="006432BD"/>
    <w:rsid w:val="006434F5"/>
    <w:rsid w:val="00643C94"/>
    <w:rsid w:val="0064567C"/>
    <w:rsid w:val="00645DF4"/>
    <w:rsid w:val="006463A0"/>
    <w:rsid w:val="00646FA5"/>
    <w:rsid w:val="006500E5"/>
    <w:rsid w:val="0065020E"/>
    <w:rsid w:val="00650CB8"/>
    <w:rsid w:val="00652122"/>
    <w:rsid w:val="006522CE"/>
    <w:rsid w:val="00652E41"/>
    <w:rsid w:val="00653ABD"/>
    <w:rsid w:val="00653BC6"/>
    <w:rsid w:val="00654597"/>
    <w:rsid w:val="0065518F"/>
    <w:rsid w:val="00655BC5"/>
    <w:rsid w:val="00656482"/>
    <w:rsid w:val="0065657D"/>
    <w:rsid w:val="00656E75"/>
    <w:rsid w:val="00657AEC"/>
    <w:rsid w:val="00660223"/>
    <w:rsid w:val="00662E05"/>
    <w:rsid w:val="00663759"/>
    <w:rsid w:val="00663F32"/>
    <w:rsid w:val="0066418D"/>
    <w:rsid w:val="00664537"/>
    <w:rsid w:val="00666307"/>
    <w:rsid w:val="0066669E"/>
    <w:rsid w:val="006666A2"/>
    <w:rsid w:val="00667D37"/>
    <w:rsid w:val="00667F33"/>
    <w:rsid w:val="00670290"/>
    <w:rsid w:val="0067297F"/>
    <w:rsid w:val="00673AC8"/>
    <w:rsid w:val="006751A0"/>
    <w:rsid w:val="00676162"/>
    <w:rsid w:val="006766F7"/>
    <w:rsid w:val="00676978"/>
    <w:rsid w:val="00682616"/>
    <w:rsid w:val="00682624"/>
    <w:rsid w:val="00684F76"/>
    <w:rsid w:val="006851C9"/>
    <w:rsid w:val="00687292"/>
    <w:rsid w:val="00687623"/>
    <w:rsid w:val="0069155A"/>
    <w:rsid w:val="006916D9"/>
    <w:rsid w:val="006917F4"/>
    <w:rsid w:val="00691940"/>
    <w:rsid w:val="0069229F"/>
    <w:rsid w:val="006929DA"/>
    <w:rsid w:val="00692A6C"/>
    <w:rsid w:val="00693630"/>
    <w:rsid w:val="00693DA0"/>
    <w:rsid w:val="006948A7"/>
    <w:rsid w:val="00697441"/>
    <w:rsid w:val="006A1085"/>
    <w:rsid w:val="006A1204"/>
    <w:rsid w:val="006A1A8A"/>
    <w:rsid w:val="006A35C5"/>
    <w:rsid w:val="006A3A65"/>
    <w:rsid w:val="006A457E"/>
    <w:rsid w:val="006A7CEE"/>
    <w:rsid w:val="006A7F3F"/>
    <w:rsid w:val="006B0687"/>
    <w:rsid w:val="006B27BB"/>
    <w:rsid w:val="006B36B1"/>
    <w:rsid w:val="006B4396"/>
    <w:rsid w:val="006B5D4B"/>
    <w:rsid w:val="006B6266"/>
    <w:rsid w:val="006B63F8"/>
    <w:rsid w:val="006B6B79"/>
    <w:rsid w:val="006C06A7"/>
    <w:rsid w:val="006C14AC"/>
    <w:rsid w:val="006C1CDD"/>
    <w:rsid w:val="006C3295"/>
    <w:rsid w:val="006C440E"/>
    <w:rsid w:val="006C4811"/>
    <w:rsid w:val="006C569C"/>
    <w:rsid w:val="006C62C8"/>
    <w:rsid w:val="006C6386"/>
    <w:rsid w:val="006C6BDA"/>
    <w:rsid w:val="006C6E78"/>
    <w:rsid w:val="006C6EFA"/>
    <w:rsid w:val="006D0525"/>
    <w:rsid w:val="006D1282"/>
    <w:rsid w:val="006D1765"/>
    <w:rsid w:val="006D18A0"/>
    <w:rsid w:val="006D2A53"/>
    <w:rsid w:val="006D31B2"/>
    <w:rsid w:val="006D3D39"/>
    <w:rsid w:val="006D4515"/>
    <w:rsid w:val="006D4D97"/>
    <w:rsid w:val="006D5981"/>
    <w:rsid w:val="006D5A49"/>
    <w:rsid w:val="006D7A4A"/>
    <w:rsid w:val="006E236A"/>
    <w:rsid w:val="006E2496"/>
    <w:rsid w:val="006E3623"/>
    <w:rsid w:val="006E362B"/>
    <w:rsid w:val="006E39C2"/>
    <w:rsid w:val="006E47D0"/>
    <w:rsid w:val="006E49C4"/>
    <w:rsid w:val="006E4AE5"/>
    <w:rsid w:val="006E4EE3"/>
    <w:rsid w:val="006E5FB3"/>
    <w:rsid w:val="006E7054"/>
    <w:rsid w:val="006E7960"/>
    <w:rsid w:val="006F0340"/>
    <w:rsid w:val="006F1C9D"/>
    <w:rsid w:val="006F2227"/>
    <w:rsid w:val="006F4DCD"/>
    <w:rsid w:val="006F4F7E"/>
    <w:rsid w:val="006F50E6"/>
    <w:rsid w:val="006F6281"/>
    <w:rsid w:val="006F6AE6"/>
    <w:rsid w:val="006F72D0"/>
    <w:rsid w:val="0070101D"/>
    <w:rsid w:val="00701BB7"/>
    <w:rsid w:val="00702DAE"/>
    <w:rsid w:val="00703783"/>
    <w:rsid w:val="0070379B"/>
    <w:rsid w:val="00704908"/>
    <w:rsid w:val="007076F7"/>
    <w:rsid w:val="00711479"/>
    <w:rsid w:val="00711C1C"/>
    <w:rsid w:val="00711EB4"/>
    <w:rsid w:val="00712171"/>
    <w:rsid w:val="007122FA"/>
    <w:rsid w:val="0071272A"/>
    <w:rsid w:val="0071482B"/>
    <w:rsid w:val="00714ADB"/>
    <w:rsid w:val="0071628B"/>
    <w:rsid w:val="00717C2B"/>
    <w:rsid w:val="007204B6"/>
    <w:rsid w:val="00720B40"/>
    <w:rsid w:val="00720D5B"/>
    <w:rsid w:val="007217A5"/>
    <w:rsid w:val="00722800"/>
    <w:rsid w:val="00722F76"/>
    <w:rsid w:val="007240ED"/>
    <w:rsid w:val="007242F7"/>
    <w:rsid w:val="00726162"/>
    <w:rsid w:val="007266CC"/>
    <w:rsid w:val="00727200"/>
    <w:rsid w:val="007272CD"/>
    <w:rsid w:val="0072748A"/>
    <w:rsid w:val="007276E4"/>
    <w:rsid w:val="00727A51"/>
    <w:rsid w:val="00727E4F"/>
    <w:rsid w:val="007304CC"/>
    <w:rsid w:val="00730A26"/>
    <w:rsid w:val="007321AC"/>
    <w:rsid w:val="0073265A"/>
    <w:rsid w:val="007340DF"/>
    <w:rsid w:val="0073427B"/>
    <w:rsid w:val="00736689"/>
    <w:rsid w:val="00736FD0"/>
    <w:rsid w:val="00737680"/>
    <w:rsid w:val="00740440"/>
    <w:rsid w:val="0074076F"/>
    <w:rsid w:val="00741070"/>
    <w:rsid w:val="007426C0"/>
    <w:rsid w:val="0074449D"/>
    <w:rsid w:val="00745D6D"/>
    <w:rsid w:val="00746935"/>
    <w:rsid w:val="00746FDD"/>
    <w:rsid w:val="007479A4"/>
    <w:rsid w:val="00747D6D"/>
    <w:rsid w:val="007501C7"/>
    <w:rsid w:val="00751BB3"/>
    <w:rsid w:val="00753864"/>
    <w:rsid w:val="007549A3"/>
    <w:rsid w:val="00755D8E"/>
    <w:rsid w:val="00757383"/>
    <w:rsid w:val="007574EF"/>
    <w:rsid w:val="007579D2"/>
    <w:rsid w:val="00757F4F"/>
    <w:rsid w:val="007605B7"/>
    <w:rsid w:val="00762CE7"/>
    <w:rsid w:val="00763099"/>
    <w:rsid w:val="00765638"/>
    <w:rsid w:val="00766E1C"/>
    <w:rsid w:val="007679D3"/>
    <w:rsid w:val="00767D91"/>
    <w:rsid w:val="0077071C"/>
    <w:rsid w:val="00770E81"/>
    <w:rsid w:val="00770FE7"/>
    <w:rsid w:val="007712DA"/>
    <w:rsid w:val="00771CFE"/>
    <w:rsid w:val="0077270D"/>
    <w:rsid w:val="00772785"/>
    <w:rsid w:val="007748BA"/>
    <w:rsid w:val="0077496B"/>
    <w:rsid w:val="00775B64"/>
    <w:rsid w:val="00776455"/>
    <w:rsid w:val="00776C6D"/>
    <w:rsid w:val="00776E89"/>
    <w:rsid w:val="00776F8B"/>
    <w:rsid w:val="007770A5"/>
    <w:rsid w:val="007775C4"/>
    <w:rsid w:val="00780583"/>
    <w:rsid w:val="00781361"/>
    <w:rsid w:val="00781D9C"/>
    <w:rsid w:val="00782439"/>
    <w:rsid w:val="007829D1"/>
    <w:rsid w:val="00783412"/>
    <w:rsid w:val="00785A7A"/>
    <w:rsid w:val="007865D2"/>
    <w:rsid w:val="00787027"/>
    <w:rsid w:val="00790534"/>
    <w:rsid w:val="00790DF3"/>
    <w:rsid w:val="007914B7"/>
    <w:rsid w:val="00791DA9"/>
    <w:rsid w:val="0079226D"/>
    <w:rsid w:val="007922A9"/>
    <w:rsid w:val="00792E43"/>
    <w:rsid w:val="00792F04"/>
    <w:rsid w:val="00793788"/>
    <w:rsid w:val="00793B4C"/>
    <w:rsid w:val="00793B80"/>
    <w:rsid w:val="007947DC"/>
    <w:rsid w:val="00795694"/>
    <w:rsid w:val="0079660A"/>
    <w:rsid w:val="007977EA"/>
    <w:rsid w:val="00797F62"/>
    <w:rsid w:val="007A0541"/>
    <w:rsid w:val="007A0CBA"/>
    <w:rsid w:val="007A2DCE"/>
    <w:rsid w:val="007A32E9"/>
    <w:rsid w:val="007A5B5E"/>
    <w:rsid w:val="007A7737"/>
    <w:rsid w:val="007B05CC"/>
    <w:rsid w:val="007B07BE"/>
    <w:rsid w:val="007B2CEA"/>
    <w:rsid w:val="007B2E46"/>
    <w:rsid w:val="007B2EC1"/>
    <w:rsid w:val="007B4065"/>
    <w:rsid w:val="007B59C9"/>
    <w:rsid w:val="007C0456"/>
    <w:rsid w:val="007C188F"/>
    <w:rsid w:val="007C1EC3"/>
    <w:rsid w:val="007C3224"/>
    <w:rsid w:val="007C4B24"/>
    <w:rsid w:val="007C4E71"/>
    <w:rsid w:val="007C51D8"/>
    <w:rsid w:val="007C5AE3"/>
    <w:rsid w:val="007C78EE"/>
    <w:rsid w:val="007D1776"/>
    <w:rsid w:val="007D1E00"/>
    <w:rsid w:val="007D26BE"/>
    <w:rsid w:val="007D3096"/>
    <w:rsid w:val="007D52CA"/>
    <w:rsid w:val="007D7523"/>
    <w:rsid w:val="007E0C02"/>
    <w:rsid w:val="007E1176"/>
    <w:rsid w:val="007E1531"/>
    <w:rsid w:val="007E1F55"/>
    <w:rsid w:val="007E2AF8"/>
    <w:rsid w:val="007E3B98"/>
    <w:rsid w:val="007E42B8"/>
    <w:rsid w:val="007E489D"/>
    <w:rsid w:val="007E4A6E"/>
    <w:rsid w:val="007E4B1E"/>
    <w:rsid w:val="007E52A6"/>
    <w:rsid w:val="007E612E"/>
    <w:rsid w:val="007E68C1"/>
    <w:rsid w:val="007F0380"/>
    <w:rsid w:val="007F19D0"/>
    <w:rsid w:val="007F1F05"/>
    <w:rsid w:val="007F24D0"/>
    <w:rsid w:val="007F2681"/>
    <w:rsid w:val="007F28E4"/>
    <w:rsid w:val="007F2D20"/>
    <w:rsid w:val="007F2E24"/>
    <w:rsid w:val="007F2FF7"/>
    <w:rsid w:val="007F3272"/>
    <w:rsid w:val="007F3518"/>
    <w:rsid w:val="007F3D0E"/>
    <w:rsid w:val="007F45D1"/>
    <w:rsid w:val="007F4902"/>
    <w:rsid w:val="007F4FD5"/>
    <w:rsid w:val="007F5015"/>
    <w:rsid w:val="007F6E55"/>
    <w:rsid w:val="007F771B"/>
    <w:rsid w:val="008012AA"/>
    <w:rsid w:val="00801385"/>
    <w:rsid w:val="008042B0"/>
    <w:rsid w:val="008054E0"/>
    <w:rsid w:val="008067CD"/>
    <w:rsid w:val="00806D2C"/>
    <w:rsid w:val="0080788F"/>
    <w:rsid w:val="00810902"/>
    <w:rsid w:val="00812410"/>
    <w:rsid w:val="00812A09"/>
    <w:rsid w:val="00812AF1"/>
    <w:rsid w:val="00813A76"/>
    <w:rsid w:val="008146C6"/>
    <w:rsid w:val="00814B77"/>
    <w:rsid w:val="008169ED"/>
    <w:rsid w:val="00821377"/>
    <w:rsid w:val="0082165A"/>
    <w:rsid w:val="00821E9C"/>
    <w:rsid w:val="008222CC"/>
    <w:rsid w:val="00823031"/>
    <w:rsid w:val="00823F1D"/>
    <w:rsid w:val="00824543"/>
    <w:rsid w:val="00824F27"/>
    <w:rsid w:val="00825726"/>
    <w:rsid w:val="00830C23"/>
    <w:rsid w:val="00831B5F"/>
    <w:rsid w:val="00831C16"/>
    <w:rsid w:val="0083224F"/>
    <w:rsid w:val="00832D93"/>
    <w:rsid w:val="00833246"/>
    <w:rsid w:val="00834247"/>
    <w:rsid w:val="00835637"/>
    <w:rsid w:val="00835D2B"/>
    <w:rsid w:val="00836037"/>
    <w:rsid w:val="0083683B"/>
    <w:rsid w:val="008369A6"/>
    <w:rsid w:val="008369B8"/>
    <w:rsid w:val="00836C91"/>
    <w:rsid w:val="00837EC7"/>
    <w:rsid w:val="0084467B"/>
    <w:rsid w:val="008454E3"/>
    <w:rsid w:val="00845CC8"/>
    <w:rsid w:val="00845E4D"/>
    <w:rsid w:val="00845E7A"/>
    <w:rsid w:val="0084628C"/>
    <w:rsid w:val="00846727"/>
    <w:rsid w:val="008474D3"/>
    <w:rsid w:val="008476B7"/>
    <w:rsid w:val="00850AC9"/>
    <w:rsid w:val="00850C1F"/>
    <w:rsid w:val="0085138B"/>
    <w:rsid w:val="00851FE0"/>
    <w:rsid w:val="00851FFF"/>
    <w:rsid w:val="008524D3"/>
    <w:rsid w:val="00857185"/>
    <w:rsid w:val="008572A6"/>
    <w:rsid w:val="00861AAB"/>
    <w:rsid w:val="00861B0F"/>
    <w:rsid w:val="00862975"/>
    <w:rsid w:val="00863B1A"/>
    <w:rsid w:val="008655DE"/>
    <w:rsid w:val="00865A15"/>
    <w:rsid w:val="00866C68"/>
    <w:rsid w:val="008670C1"/>
    <w:rsid w:val="008704BD"/>
    <w:rsid w:val="008747D6"/>
    <w:rsid w:val="008767F5"/>
    <w:rsid w:val="008773C2"/>
    <w:rsid w:val="00877A15"/>
    <w:rsid w:val="00877AEB"/>
    <w:rsid w:val="008800AF"/>
    <w:rsid w:val="008814E1"/>
    <w:rsid w:val="0088279B"/>
    <w:rsid w:val="00882DB2"/>
    <w:rsid w:val="0088342D"/>
    <w:rsid w:val="00883625"/>
    <w:rsid w:val="008848DD"/>
    <w:rsid w:val="008849CE"/>
    <w:rsid w:val="008865DD"/>
    <w:rsid w:val="00887496"/>
    <w:rsid w:val="00887564"/>
    <w:rsid w:val="008879D7"/>
    <w:rsid w:val="00887BB0"/>
    <w:rsid w:val="008901A6"/>
    <w:rsid w:val="008935BD"/>
    <w:rsid w:val="00893EC9"/>
    <w:rsid w:val="008945D1"/>
    <w:rsid w:val="0089546F"/>
    <w:rsid w:val="00896067"/>
    <w:rsid w:val="00896BD5"/>
    <w:rsid w:val="00897468"/>
    <w:rsid w:val="00897E00"/>
    <w:rsid w:val="008A08DB"/>
    <w:rsid w:val="008A0949"/>
    <w:rsid w:val="008A0BA5"/>
    <w:rsid w:val="008A15D3"/>
    <w:rsid w:val="008A1835"/>
    <w:rsid w:val="008A198F"/>
    <w:rsid w:val="008A291F"/>
    <w:rsid w:val="008A3E0B"/>
    <w:rsid w:val="008A43CF"/>
    <w:rsid w:val="008A489F"/>
    <w:rsid w:val="008A558E"/>
    <w:rsid w:val="008B0D49"/>
    <w:rsid w:val="008B2B91"/>
    <w:rsid w:val="008B398F"/>
    <w:rsid w:val="008B4E86"/>
    <w:rsid w:val="008B6916"/>
    <w:rsid w:val="008B6CC4"/>
    <w:rsid w:val="008C0B3B"/>
    <w:rsid w:val="008C2081"/>
    <w:rsid w:val="008C415C"/>
    <w:rsid w:val="008C5C60"/>
    <w:rsid w:val="008C7113"/>
    <w:rsid w:val="008C7777"/>
    <w:rsid w:val="008D081F"/>
    <w:rsid w:val="008D10AE"/>
    <w:rsid w:val="008D12E3"/>
    <w:rsid w:val="008D21C3"/>
    <w:rsid w:val="008D2CCE"/>
    <w:rsid w:val="008D529B"/>
    <w:rsid w:val="008D62C8"/>
    <w:rsid w:val="008D6ADE"/>
    <w:rsid w:val="008E0497"/>
    <w:rsid w:val="008E062D"/>
    <w:rsid w:val="008E277D"/>
    <w:rsid w:val="008E2AA9"/>
    <w:rsid w:val="008E2DD0"/>
    <w:rsid w:val="008E3074"/>
    <w:rsid w:val="008E3101"/>
    <w:rsid w:val="008E4756"/>
    <w:rsid w:val="008E5313"/>
    <w:rsid w:val="008E5CEF"/>
    <w:rsid w:val="008E7BEA"/>
    <w:rsid w:val="008E7F59"/>
    <w:rsid w:val="008F03B6"/>
    <w:rsid w:val="008F0A72"/>
    <w:rsid w:val="008F13AA"/>
    <w:rsid w:val="008F17E2"/>
    <w:rsid w:val="008F19BA"/>
    <w:rsid w:val="008F2F87"/>
    <w:rsid w:val="008F2FF6"/>
    <w:rsid w:val="008F4CCA"/>
    <w:rsid w:val="008F4F62"/>
    <w:rsid w:val="008F562D"/>
    <w:rsid w:val="008F6E20"/>
    <w:rsid w:val="008F7123"/>
    <w:rsid w:val="00900469"/>
    <w:rsid w:val="0090055D"/>
    <w:rsid w:val="009007F2"/>
    <w:rsid w:val="0090098C"/>
    <w:rsid w:val="00902C73"/>
    <w:rsid w:val="00903DD4"/>
    <w:rsid w:val="00903E2D"/>
    <w:rsid w:val="00905923"/>
    <w:rsid w:val="00905D89"/>
    <w:rsid w:val="00905E6C"/>
    <w:rsid w:val="00906336"/>
    <w:rsid w:val="00906AB7"/>
    <w:rsid w:val="00907BAE"/>
    <w:rsid w:val="00910AAC"/>
    <w:rsid w:val="00911D1A"/>
    <w:rsid w:val="009141B4"/>
    <w:rsid w:val="009144AB"/>
    <w:rsid w:val="00916586"/>
    <w:rsid w:val="009171F0"/>
    <w:rsid w:val="00921352"/>
    <w:rsid w:val="00921882"/>
    <w:rsid w:val="00921B8A"/>
    <w:rsid w:val="0092252D"/>
    <w:rsid w:val="009230FC"/>
    <w:rsid w:val="00924199"/>
    <w:rsid w:val="009244B4"/>
    <w:rsid w:val="00924CA3"/>
    <w:rsid w:val="0092595D"/>
    <w:rsid w:val="00926021"/>
    <w:rsid w:val="0092630A"/>
    <w:rsid w:val="00926345"/>
    <w:rsid w:val="00926AF4"/>
    <w:rsid w:val="0092769F"/>
    <w:rsid w:val="00927F56"/>
    <w:rsid w:val="00930D6D"/>
    <w:rsid w:val="00932227"/>
    <w:rsid w:val="00932CF9"/>
    <w:rsid w:val="00933E1F"/>
    <w:rsid w:val="00934175"/>
    <w:rsid w:val="00935E9C"/>
    <w:rsid w:val="00937105"/>
    <w:rsid w:val="00940015"/>
    <w:rsid w:val="00940638"/>
    <w:rsid w:val="009418A1"/>
    <w:rsid w:val="00942759"/>
    <w:rsid w:val="00942B26"/>
    <w:rsid w:val="009433F7"/>
    <w:rsid w:val="009438BB"/>
    <w:rsid w:val="00943A65"/>
    <w:rsid w:val="0094453D"/>
    <w:rsid w:val="00944565"/>
    <w:rsid w:val="00944BA7"/>
    <w:rsid w:val="00944F9E"/>
    <w:rsid w:val="0094659E"/>
    <w:rsid w:val="00946BC5"/>
    <w:rsid w:val="00947D91"/>
    <w:rsid w:val="00950824"/>
    <w:rsid w:val="009514D8"/>
    <w:rsid w:val="009515FA"/>
    <w:rsid w:val="009516FE"/>
    <w:rsid w:val="0095417C"/>
    <w:rsid w:val="009547E1"/>
    <w:rsid w:val="009558BE"/>
    <w:rsid w:val="00956774"/>
    <w:rsid w:val="0096080D"/>
    <w:rsid w:val="009611C6"/>
    <w:rsid w:val="0096124C"/>
    <w:rsid w:val="00963F14"/>
    <w:rsid w:val="009641BC"/>
    <w:rsid w:val="00965176"/>
    <w:rsid w:val="00965519"/>
    <w:rsid w:val="00965CB1"/>
    <w:rsid w:val="009668D9"/>
    <w:rsid w:val="00967198"/>
    <w:rsid w:val="009703F6"/>
    <w:rsid w:val="0097121D"/>
    <w:rsid w:val="00971692"/>
    <w:rsid w:val="00971FBC"/>
    <w:rsid w:val="009723B4"/>
    <w:rsid w:val="00972C2A"/>
    <w:rsid w:val="00973FE6"/>
    <w:rsid w:val="00974253"/>
    <w:rsid w:val="00974761"/>
    <w:rsid w:val="00975A62"/>
    <w:rsid w:val="00976E8F"/>
    <w:rsid w:val="009771D0"/>
    <w:rsid w:val="0097721D"/>
    <w:rsid w:val="00977A42"/>
    <w:rsid w:val="0098041A"/>
    <w:rsid w:val="0098080E"/>
    <w:rsid w:val="009810CE"/>
    <w:rsid w:val="00982DEC"/>
    <w:rsid w:val="00982E18"/>
    <w:rsid w:val="009857C5"/>
    <w:rsid w:val="00985B10"/>
    <w:rsid w:val="00990EEC"/>
    <w:rsid w:val="00990F6F"/>
    <w:rsid w:val="00991962"/>
    <w:rsid w:val="00992738"/>
    <w:rsid w:val="00993A24"/>
    <w:rsid w:val="00993AC6"/>
    <w:rsid w:val="00994846"/>
    <w:rsid w:val="00995196"/>
    <w:rsid w:val="009951B3"/>
    <w:rsid w:val="0099546A"/>
    <w:rsid w:val="009956FD"/>
    <w:rsid w:val="00995CCB"/>
    <w:rsid w:val="00997A9A"/>
    <w:rsid w:val="009A0179"/>
    <w:rsid w:val="009A0793"/>
    <w:rsid w:val="009A153A"/>
    <w:rsid w:val="009A2910"/>
    <w:rsid w:val="009A398F"/>
    <w:rsid w:val="009A3CB5"/>
    <w:rsid w:val="009A3DDA"/>
    <w:rsid w:val="009A4942"/>
    <w:rsid w:val="009A4B22"/>
    <w:rsid w:val="009A55E7"/>
    <w:rsid w:val="009B102F"/>
    <w:rsid w:val="009B381E"/>
    <w:rsid w:val="009B4059"/>
    <w:rsid w:val="009B413C"/>
    <w:rsid w:val="009B58AF"/>
    <w:rsid w:val="009B63E7"/>
    <w:rsid w:val="009B6D3D"/>
    <w:rsid w:val="009B70F9"/>
    <w:rsid w:val="009C017B"/>
    <w:rsid w:val="009C28FF"/>
    <w:rsid w:val="009C4797"/>
    <w:rsid w:val="009C5944"/>
    <w:rsid w:val="009C6143"/>
    <w:rsid w:val="009C6E35"/>
    <w:rsid w:val="009D1C23"/>
    <w:rsid w:val="009D1D37"/>
    <w:rsid w:val="009D221B"/>
    <w:rsid w:val="009D2E50"/>
    <w:rsid w:val="009D34FD"/>
    <w:rsid w:val="009D3575"/>
    <w:rsid w:val="009D420C"/>
    <w:rsid w:val="009E14BC"/>
    <w:rsid w:val="009E3A31"/>
    <w:rsid w:val="009E6664"/>
    <w:rsid w:val="009E6691"/>
    <w:rsid w:val="009E6DCF"/>
    <w:rsid w:val="009E70ED"/>
    <w:rsid w:val="009E7BBD"/>
    <w:rsid w:val="009F0379"/>
    <w:rsid w:val="009F2725"/>
    <w:rsid w:val="009F27D8"/>
    <w:rsid w:val="009F2A2B"/>
    <w:rsid w:val="009F44CC"/>
    <w:rsid w:val="009F4512"/>
    <w:rsid w:val="009F56EF"/>
    <w:rsid w:val="009F58A1"/>
    <w:rsid w:val="009F62E5"/>
    <w:rsid w:val="009F65D2"/>
    <w:rsid w:val="009F6602"/>
    <w:rsid w:val="009F6C0F"/>
    <w:rsid w:val="009F7273"/>
    <w:rsid w:val="00A00A3E"/>
    <w:rsid w:val="00A020A1"/>
    <w:rsid w:val="00A0404C"/>
    <w:rsid w:val="00A047E3"/>
    <w:rsid w:val="00A04A76"/>
    <w:rsid w:val="00A04C83"/>
    <w:rsid w:val="00A05BC0"/>
    <w:rsid w:val="00A073BB"/>
    <w:rsid w:val="00A07A54"/>
    <w:rsid w:val="00A107FE"/>
    <w:rsid w:val="00A10A9A"/>
    <w:rsid w:val="00A11CBC"/>
    <w:rsid w:val="00A11D0D"/>
    <w:rsid w:val="00A178D9"/>
    <w:rsid w:val="00A178FD"/>
    <w:rsid w:val="00A22252"/>
    <w:rsid w:val="00A224B0"/>
    <w:rsid w:val="00A23714"/>
    <w:rsid w:val="00A24172"/>
    <w:rsid w:val="00A25D64"/>
    <w:rsid w:val="00A25D6F"/>
    <w:rsid w:val="00A26306"/>
    <w:rsid w:val="00A26943"/>
    <w:rsid w:val="00A270B2"/>
    <w:rsid w:val="00A27CF9"/>
    <w:rsid w:val="00A301B3"/>
    <w:rsid w:val="00A305D6"/>
    <w:rsid w:val="00A30D9E"/>
    <w:rsid w:val="00A316CD"/>
    <w:rsid w:val="00A31DA9"/>
    <w:rsid w:val="00A323F1"/>
    <w:rsid w:val="00A3299B"/>
    <w:rsid w:val="00A32E09"/>
    <w:rsid w:val="00A3397E"/>
    <w:rsid w:val="00A33A60"/>
    <w:rsid w:val="00A3400F"/>
    <w:rsid w:val="00A34814"/>
    <w:rsid w:val="00A34BD9"/>
    <w:rsid w:val="00A3714F"/>
    <w:rsid w:val="00A37F85"/>
    <w:rsid w:val="00A4125A"/>
    <w:rsid w:val="00A4140C"/>
    <w:rsid w:val="00A4170E"/>
    <w:rsid w:val="00A42B86"/>
    <w:rsid w:val="00A46393"/>
    <w:rsid w:val="00A46457"/>
    <w:rsid w:val="00A46A4B"/>
    <w:rsid w:val="00A50784"/>
    <w:rsid w:val="00A52E84"/>
    <w:rsid w:val="00A55CB3"/>
    <w:rsid w:val="00A55DBB"/>
    <w:rsid w:val="00A55F2E"/>
    <w:rsid w:val="00A6034C"/>
    <w:rsid w:val="00A606A0"/>
    <w:rsid w:val="00A60C24"/>
    <w:rsid w:val="00A611BF"/>
    <w:rsid w:val="00A613D9"/>
    <w:rsid w:val="00A6211A"/>
    <w:rsid w:val="00A625AA"/>
    <w:rsid w:val="00A6373C"/>
    <w:rsid w:val="00A63AD3"/>
    <w:rsid w:val="00A64B95"/>
    <w:rsid w:val="00A651B0"/>
    <w:rsid w:val="00A65519"/>
    <w:rsid w:val="00A659B6"/>
    <w:rsid w:val="00A65E00"/>
    <w:rsid w:val="00A66C2E"/>
    <w:rsid w:val="00A66D40"/>
    <w:rsid w:val="00A66FDE"/>
    <w:rsid w:val="00A7073B"/>
    <w:rsid w:val="00A72666"/>
    <w:rsid w:val="00A72757"/>
    <w:rsid w:val="00A746F9"/>
    <w:rsid w:val="00A7502E"/>
    <w:rsid w:val="00A76870"/>
    <w:rsid w:val="00A778C3"/>
    <w:rsid w:val="00A809EB"/>
    <w:rsid w:val="00A8125C"/>
    <w:rsid w:val="00A81B0D"/>
    <w:rsid w:val="00A82209"/>
    <w:rsid w:val="00A82693"/>
    <w:rsid w:val="00A82CFE"/>
    <w:rsid w:val="00A84177"/>
    <w:rsid w:val="00A846C8"/>
    <w:rsid w:val="00A87992"/>
    <w:rsid w:val="00A90327"/>
    <w:rsid w:val="00A90456"/>
    <w:rsid w:val="00A908A9"/>
    <w:rsid w:val="00A9228F"/>
    <w:rsid w:val="00A9285E"/>
    <w:rsid w:val="00A94A6E"/>
    <w:rsid w:val="00A96C07"/>
    <w:rsid w:val="00A97F7A"/>
    <w:rsid w:val="00AA0263"/>
    <w:rsid w:val="00AA0297"/>
    <w:rsid w:val="00AA06BE"/>
    <w:rsid w:val="00AA0C62"/>
    <w:rsid w:val="00AA13FA"/>
    <w:rsid w:val="00AA147B"/>
    <w:rsid w:val="00AA23C5"/>
    <w:rsid w:val="00AA29B8"/>
    <w:rsid w:val="00AA2B67"/>
    <w:rsid w:val="00AA2E7B"/>
    <w:rsid w:val="00AA3711"/>
    <w:rsid w:val="00AA40AE"/>
    <w:rsid w:val="00AA4FAA"/>
    <w:rsid w:val="00AA52A5"/>
    <w:rsid w:val="00AA5397"/>
    <w:rsid w:val="00AA5DB7"/>
    <w:rsid w:val="00AB0AA4"/>
    <w:rsid w:val="00AB0E77"/>
    <w:rsid w:val="00AB0F76"/>
    <w:rsid w:val="00AB1D77"/>
    <w:rsid w:val="00AB30FA"/>
    <w:rsid w:val="00AB49C3"/>
    <w:rsid w:val="00AB52AC"/>
    <w:rsid w:val="00AB5626"/>
    <w:rsid w:val="00AB65AA"/>
    <w:rsid w:val="00AB7040"/>
    <w:rsid w:val="00AB7D8F"/>
    <w:rsid w:val="00AC04BA"/>
    <w:rsid w:val="00AC07E2"/>
    <w:rsid w:val="00AC0EEC"/>
    <w:rsid w:val="00AC16FF"/>
    <w:rsid w:val="00AC2567"/>
    <w:rsid w:val="00AC2668"/>
    <w:rsid w:val="00AC2933"/>
    <w:rsid w:val="00AC2B64"/>
    <w:rsid w:val="00AC5F31"/>
    <w:rsid w:val="00AC745E"/>
    <w:rsid w:val="00AD072F"/>
    <w:rsid w:val="00AD081B"/>
    <w:rsid w:val="00AD2672"/>
    <w:rsid w:val="00AD30D4"/>
    <w:rsid w:val="00AD4EB9"/>
    <w:rsid w:val="00AD4F37"/>
    <w:rsid w:val="00AD57B4"/>
    <w:rsid w:val="00AD5C1D"/>
    <w:rsid w:val="00AE068A"/>
    <w:rsid w:val="00AE0FB7"/>
    <w:rsid w:val="00AE15A1"/>
    <w:rsid w:val="00AE16E6"/>
    <w:rsid w:val="00AE282D"/>
    <w:rsid w:val="00AE4A0E"/>
    <w:rsid w:val="00AE53B2"/>
    <w:rsid w:val="00AE60DB"/>
    <w:rsid w:val="00AE6D9C"/>
    <w:rsid w:val="00AE712B"/>
    <w:rsid w:val="00AE72D1"/>
    <w:rsid w:val="00AE783E"/>
    <w:rsid w:val="00AE7FAA"/>
    <w:rsid w:val="00AF087F"/>
    <w:rsid w:val="00AF0ED8"/>
    <w:rsid w:val="00AF223E"/>
    <w:rsid w:val="00AF35C9"/>
    <w:rsid w:val="00AF449C"/>
    <w:rsid w:val="00AF5132"/>
    <w:rsid w:val="00AF528B"/>
    <w:rsid w:val="00AF5611"/>
    <w:rsid w:val="00AF5C19"/>
    <w:rsid w:val="00AF6C2D"/>
    <w:rsid w:val="00AF78D5"/>
    <w:rsid w:val="00B01F1A"/>
    <w:rsid w:val="00B0223F"/>
    <w:rsid w:val="00B03CF5"/>
    <w:rsid w:val="00B04605"/>
    <w:rsid w:val="00B05847"/>
    <w:rsid w:val="00B079F5"/>
    <w:rsid w:val="00B115B2"/>
    <w:rsid w:val="00B12132"/>
    <w:rsid w:val="00B12635"/>
    <w:rsid w:val="00B12A25"/>
    <w:rsid w:val="00B1305A"/>
    <w:rsid w:val="00B15761"/>
    <w:rsid w:val="00B15F1E"/>
    <w:rsid w:val="00B177FB"/>
    <w:rsid w:val="00B17845"/>
    <w:rsid w:val="00B21386"/>
    <w:rsid w:val="00B21A4A"/>
    <w:rsid w:val="00B21CE6"/>
    <w:rsid w:val="00B234CD"/>
    <w:rsid w:val="00B23F60"/>
    <w:rsid w:val="00B24764"/>
    <w:rsid w:val="00B249C2"/>
    <w:rsid w:val="00B259C7"/>
    <w:rsid w:val="00B25F88"/>
    <w:rsid w:val="00B260AD"/>
    <w:rsid w:val="00B30145"/>
    <w:rsid w:val="00B3115C"/>
    <w:rsid w:val="00B312C1"/>
    <w:rsid w:val="00B31391"/>
    <w:rsid w:val="00B31B92"/>
    <w:rsid w:val="00B32D70"/>
    <w:rsid w:val="00B34975"/>
    <w:rsid w:val="00B363AB"/>
    <w:rsid w:val="00B3737A"/>
    <w:rsid w:val="00B405B3"/>
    <w:rsid w:val="00B4137A"/>
    <w:rsid w:val="00B4145D"/>
    <w:rsid w:val="00B41F2C"/>
    <w:rsid w:val="00B433F2"/>
    <w:rsid w:val="00B43702"/>
    <w:rsid w:val="00B44C0B"/>
    <w:rsid w:val="00B44FB5"/>
    <w:rsid w:val="00B4543A"/>
    <w:rsid w:val="00B454F4"/>
    <w:rsid w:val="00B45904"/>
    <w:rsid w:val="00B46406"/>
    <w:rsid w:val="00B47A4B"/>
    <w:rsid w:val="00B50A3B"/>
    <w:rsid w:val="00B50E5A"/>
    <w:rsid w:val="00B51376"/>
    <w:rsid w:val="00B5255B"/>
    <w:rsid w:val="00B52B5F"/>
    <w:rsid w:val="00B531D2"/>
    <w:rsid w:val="00B532FD"/>
    <w:rsid w:val="00B54A96"/>
    <w:rsid w:val="00B54E80"/>
    <w:rsid w:val="00B55123"/>
    <w:rsid w:val="00B55968"/>
    <w:rsid w:val="00B57BF5"/>
    <w:rsid w:val="00B57E39"/>
    <w:rsid w:val="00B622F9"/>
    <w:rsid w:val="00B62DFE"/>
    <w:rsid w:val="00B6313A"/>
    <w:rsid w:val="00B66B4A"/>
    <w:rsid w:val="00B67C38"/>
    <w:rsid w:val="00B71D16"/>
    <w:rsid w:val="00B72102"/>
    <w:rsid w:val="00B74D3A"/>
    <w:rsid w:val="00B74E71"/>
    <w:rsid w:val="00B75517"/>
    <w:rsid w:val="00B76010"/>
    <w:rsid w:val="00B760EC"/>
    <w:rsid w:val="00B77B60"/>
    <w:rsid w:val="00B817E6"/>
    <w:rsid w:val="00B82C5D"/>
    <w:rsid w:val="00B83072"/>
    <w:rsid w:val="00B8341F"/>
    <w:rsid w:val="00B83C0F"/>
    <w:rsid w:val="00B845D0"/>
    <w:rsid w:val="00B846BB"/>
    <w:rsid w:val="00B8491E"/>
    <w:rsid w:val="00B85D54"/>
    <w:rsid w:val="00B8638C"/>
    <w:rsid w:val="00B9045D"/>
    <w:rsid w:val="00B918C0"/>
    <w:rsid w:val="00B91D38"/>
    <w:rsid w:val="00B91E3C"/>
    <w:rsid w:val="00B92E11"/>
    <w:rsid w:val="00B94DEF"/>
    <w:rsid w:val="00B9549A"/>
    <w:rsid w:val="00B95C2C"/>
    <w:rsid w:val="00B96A5F"/>
    <w:rsid w:val="00B97260"/>
    <w:rsid w:val="00BA04ED"/>
    <w:rsid w:val="00BA0A56"/>
    <w:rsid w:val="00BA1501"/>
    <w:rsid w:val="00BA263C"/>
    <w:rsid w:val="00BA54F9"/>
    <w:rsid w:val="00BA552F"/>
    <w:rsid w:val="00BA616A"/>
    <w:rsid w:val="00BA6A49"/>
    <w:rsid w:val="00BA6F5E"/>
    <w:rsid w:val="00BB0504"/>
    <w:rsid w:val="00BB2011"/>
    <w:rsid w:val="00BB2B12"/>
    <w:rsid w:val="00BB3701"/>
    <w:rsid w:val="00BB38B7"/>
    <w:rsid w:val="00BB3F1D"/>
    <w:rsid w:val="00BB4344"/>
    <w:rsid w:val="00BB47B6"/>
    <w:rsid w:val="00BB5DFD"/>
    <w:rsid w:val="00BB7401"/>
    <w:rsid w:val="00BB77AF"/>
    <w:rsid w:val="00BB7C6F"/>
    <w:rsid w:val="00BC1E07"/>
    <w:rsid w:val="00BC2572"/>
    <w:rsid w:val="00BC327F"/>
    <w:rsid w:val="00BC35A4"/>
    <w:rsid w:val="00BC3A5D"/>
    <w:rsid w:val="00BC3E2D"/>
    <w:rsid w:val="00BC4F30"/>
    <w:rsid w:val="00BC6BA0"/>
    <w:rsid w:val="00BC72C3"/>
    <w:rsid w:val="00BC7320"/>
    <w:rsid w:val="00BC749B"/>
    <w:rsid w:val="00BD092D"/>
    <w:rsid w:val="00BD1603"/>
    <w:rsid w:val="00BD2CBA"/>
    <w:rsid w:val="00BD3B60"/>
    <w:rsid w:val="00BD5BEA"/>
    <w:rsid w:val="00BD732B"/>
    <w:rsid w:val="00BD7F82"/>
    <w:rsid w:val="00BE12BE"/>
    <w:rsid w:val="00BE28AB"/>
    <w:rsid w:val="00BE29E4"/>
    <w:rsid w:val="00BE2D68"/>
    <w:rsid w:val="00BE35BC"/>
    <w:rsid w:val="00BE4294"/>
    <w:rsid w:val="00BE5263"/>
    <w:rsid w:val="00BE5D99"/>
    <w:rsid w:val="00BE5EA2"/>
    <w:rsid w:val="00BE6AAB"/>
    <w:rsid w:val="00BE7008"/>
    <w:rsid w:val="00BF08B1"/>
    <w:rsid w:val="00BF0D72"/>
    <w:rsid w:val="00BF1A28"/>
    <w:rsid w:val="00BF2BEB"/>
    <w:rsid w:val="00BF3220"/>
    <w:rsid w:val="00BF380A"/>
    <w:rsid w:val="00BF5790"/>
    <w:rsid w:val="00BF5AB7"/>
    <w:rsid w:val="00BF6A85"/>
    <w:rsid w:val="00BF6ABC"/>
    <w:rsid w:val="00BF7FA4"/>
    <w:rsid w:val="00C0198B"/>
    <w:rsid w:val="00C02013"/>
    <w:rsid w:val="00C02414"/>
    <w:rsid w:val="00C068BD"/>
    <w:rsid w:val="00C11B86"/>
    <w:rsid w:val="00C12795"/>
    <w:rsid w:val="00C159AF"/>
    <w:rsid w:val="00C203FA"/>
    <w:rsid w:val="00C22568"/>
    <w:rsid w:val="00C247C2"/>
    <w:rsid w:val="00C25C26"/>
    <w:rsid w:val="00C26BEE"/>
    <w:rsid w:val="00C273F3"/>
    <w:rsid w:val="00C275BA"/>
    <w:rsid w:val="00C314C6"/>
    <w:rsid w:val="00C31A73"/>
    <w:rsid w:val="00C31FD4"/>
    <w:rsid w:val="00C331A4"/>
    <w:rsid w:val="00C33738"/>
    <w:rsid w:val="00C34FB2"/>
    <w:rsid w:val="00C366F4"/>
    <w:rsid w:val="00C40265"/>
    <w:rsid w:val="00C40BE4"/>
    <w:rsid w:val="00C42FD7"/>
    <w:rsid w:val="00C46463"/>
    <w:rsid w:val="00C4736E"/>
    <w:rsid w:val="00C51EC5"/>
    <w:rsid w:val="00C523B7"/>
    <w:rsid w:val="00C52A4C"/>
    <w:rsid w:val="00C53773"/>
    <w:rsid w:val="00C540F7"/>
    <w:rsid w:val="00C5422F"/>
    <w:rsid w:val="00C54398"/>
    <w:rsid w:val="00C54785"/>
    <w:rsid w:val="00C54958"/>
    <w:rsid w:val="00C549E0"/>
    <w:rsid w:val="00C56006"/>
    <w:rsid w:val="00C57947"/>
    <w:rsid w:val="00C618E1"/>
    <w:rsid w:val="00C6194B"/>
    <w:rsid w:val="00C64071"/>
    <w:rsid w:val="00C65304"/>
    <w:rsid w:val="00C65389"/>
    <w:rsid w:val="00C65F2C"/>
    <w:rsid w:val="00C66901"/>
    <w:rsid w:val="00C67752"/>
    <w:rsid w:val="00C70276"/>
    <w:rsid w:val="00C708CA"/>
    <w:rsid w:val="00C71FB7"/>
    <w:rsid w:val="00C72597"/>
    <w:rsid w:val="00C729BA"/>
    <w:rsid w:val="00C732DA"/>
    <w:rsid w:val="00C74B5F"/>
    <w:rsid w:val="00C75ED2"/>
    <w:rsid w:val="00C77254"/>
    <w:rsid w:val="00C7729B"/>
    <w:rsid w:val="00C77F9C"/>
    <w:rsid w:val="00C80601"/>
    <w:rsid w:val="00C82A82"/>
    <w:rsid w:val="00C837A0"/>
    <w:rsid w:val="00C84196"/>
    <w:rsid w:val="00C84609"/>
    <w:rsid w:val="00C84748"/>
    <w:rsid w:val="00C84A20"/>
    <w:rsid w:val="00C851C7"/>
    <w:rsid w:val="00C85A87"/>
    <w:rsid w:val="00C90199"/>
    <w:rsid w:val="00C9037A"/>
    <w:rsid w:val="00C90526"/>
    <w:rsid w:val="00C90A75"/>
    <w:rsid w:val="00C90EED"/>
    <w:rsid w:val="00C91A0D"/>
    <w:rsid w:val="00C92469"/>
    <w:rsid w:val="00C93A99"/>
    <w:rsid w:val="00C94156"/>
    <w:rsid w:val="00C96BC8"/>
    <w:rsid w:val="00C9771F"/>
    <w:rsid w:val="00CA00F2"/>
    <w:rsid w:val="00CA0D46"/>
    <w:rsid w:val="00CA119F"/>
    <w:rsid w:val="00CA1EB5"/>
    <w:rsid w:val="00CA27BF"/>
    <w:rsid w:val="00CA527D"/>
    <w:rsid w:val="00CA5E7A"/>
    <w:rsid w:val="00CA72C4"/>
    <w:rsid w:val="00CA740C"/>
    <w:rsid w:val="00CA7528"/>
    <w:rsid w:val="00CB07D0"/>
    <w:rsid w:val="00CB0994"/>
    <w:rsid w:val="00CB0A54"/>
    <w:rsid w:val="00CB0B82"/>
    <w:rsid w:val="00CB14A5"/>
    <w:rsid w:val="00CB2873"/>
    <w:rsid w:val="00CB2DE1"/>
    <w:rsid w:val="00CB2ECE"/>
    <w:rsid w:val="00CB3A0F"/>
    <w:rsid w:val="00CB3E22"/>
    <w:rsid w:val="00CB5ED4"/>
    <w:rsid w:val="00CB60A4"/>
    <w:rsid w:val="00CC110B"/>
    <w:rsid w:val="00CC1538"/>
    <w:rsid w:val="00CC250D"/>
    <w:rsid w:val="00CC25BB"/>
    <w:rsid w:val="00CC2B46"/>
    <w:rsid w:val="00CC2BB3"/>
    <w:rsid w:val="00CC2DC9"/>
    <w:rsid w:val="00CC3160"/>
    <w:rsid w:val="00CC434F"/>
    <w:rsid w:val="00CC551D"/>
    <w:rsid w:val="00CC5E76"/>
    <w:rsid w:val="00CC6364"/>
    <w:rsid w:val="00CC6637"/>
    <w:rsid w:val="00CD3333"/>
    <w:rsid w:val="00CD3D6C"/>
    <w:rsid w:val="00CD5890"/>
    <w:rsid w:val="00CD5972"/>
    <w:rsid w:val="00CD5A87"/>
    <w:rsid w:val="00CD6BD5"/>
    <w:rsid w:val="00CD761D"/>
    <w:rsid w:val="00CD78CF"/>
    <w:rsid w:val="00CE00C7"/>
    <w:rsid w:val="00CE0D15"/>
    <w:rsid w:val="00CE116E"/>
    <w:rsid w:val="00CE135E"/>
    <w:rsid w:val="00CE38D2"/>
    <w:rsid w:val="00CE3B94"/>
    <w:rsid w:val="00CE46F7"/>
    <w:rsid w:val="00CE5B83"/>
    <w:rsid w:val="00CE6E2C"/>
    <w:rsid w:val="00CE7AA0"/>
    <w:rsid w:val="00CF0A84"/>
    <w:rsid w:val="00CF141D"/>
    <w:rsid w:val="00CF2162"/>
    <w:rsid w:val="00CF28E2"/>
    <w:rsid w:val="00CF3E81"/>
    <w:rsid w:val="00CF4B3A"/>
    <w:rsid w:val="00CF5DD4"/>
    <w:rsid w:val="00CF6233"/>
    <w:rsid w:val="00CF6E55"/>
    <w:rsid w:val="00D009D1"/>
    <w:rsid w:val="00D00F4E"/>
    <w:rsid w:val="00D010F9"/>
    <w:rsid w:val="00D01C8D"/>
    <w:rsid w:val="00D0273B"/>
    <w:rsid w:val="00D030ED"/>
    <w:rsid w:val="00D03674"/>
    <w:rsid w:val="00D05072"/>
    <w:rsid w:val="00D05DFA"/>
    <w:rsid w:val="00D06B1E"/>
    <w:rsid w:val="00D06F2F"/>
    <w:rsid w:val="00D07057"/>
    <w:rsid w:val="00D07570"/>
    <w:rsid w:val="00D1080A"/>
    <w:rsid w:val="00D11C8C"/>
    <w:rsid w:val="00D1328E"/>
    <w:rsid w:val="00D132E1"/>
    <w:rsid w:val="00D1422E"/>
    <w:rsid w:val="00D14CDC"/>
    <w:rsid w:val="00D14E5D"/>
    <w:rsid w:val="00D15D06"/>
    <w:rsid w:val="00D15DA6"/>
    <w:rsid w:val="00D160BC"/>
    <w:rsid w:val="00D1618D"/>
    <w:rsid w:val="00D202AD"/>
    <w:rsid w:val="00D2067A"/>
    <w:rsid w:val="00D210DB"/>
    <w:rsid w:val="00D21685"/>
    <w:rsid w:val="00D22329"/>
    <w:rsid w:val="00D239A8"/>
    <w:rsid w:val="00D24A14"/>
    <w:rsid w:val="00D25120"/>
    <w:rsid w:val="00D2536C"/>
    <w:rsid w:val="00D25B3E"/>
    <w:rsid w:val="00D26B1C"/>
    <w:rsid w:val="00D2730E"/>
    <w:rsid w:val="00D302CE"/>
    <w:rsid w:val="00D30F09"/>
    <w:rsid w:val="00D312B9"/>
    <w:rsid w:val="00D33C73"/>
    <w:rsid w:val="00D3437A"/>
    <w:rsid w:val="00D349C0"/>
    <w:rsid w:val="00D35985"/>
    <w:rsid w:val="00D36BE5"/>
    <w:rsid w:val="00D36D83"/>
    <w:rsid w:val="00D36F33"/>
    <w:rsid w:val="00D4007C"/>
    <w:rsid w:val="00D40570"/>
    <w:rsid w:val="00D405B4"/>
    <w:rsid w:val="00D4065C"/>
    <w:rsid w:val="00D41689"/>
    <w:rsid w:val="00D4233B"/>
    <w:rsid w:val="00D42E99"/>
    <w:rsid w:val="00D432ED"/>
    <w:rsid w:val="00D441B9"/>
    <w:rsid w:val="00D44402"/>
    <w:rsid w:val="00D44826"/>
    <w:rsid w:val="00D44B68"/>
    <w:rsid w:val="00D44FC0"/>
    <w:rsid w:val="00D47330"/>
    <w:rsid w:val="00D47FA0"/>
    <w:rsid w:val="00D50B43"/>
    <w:rsid w:val="00D51099"/>
    <w:rsid w:val="00D51359"/>
    <w:rsid w:val="00D5236E"/>
    <w:rsid w:val="00D52C27"/>
    <w:rsid w:val="00D52D6D"/>
    <w:rsid w:val="00D5302B"/>
    <w:rsid w:val="00D53C9A"/>
    <w:rsid w:val="00D55254"/>
    <w:rsid w:val="00D56959"/>
    <w:rsid w:val="00D572D2"/>
    <w:rsid w:val="00D57528"/>
    <w:rsid w:val="00D57F32"/>
    <w:rsid w:val="00D57FA2"/>
    <w:rsid w:val="00D61417"/>
    <w:rsid w:val="00D61A29"/>
    <w:rsid w:val="00D620EB"/>
    <w:rsid w:val="00D62EB2"/>
    <w:rsid w:val="00D63329"/>
    <w:rsid w:val="00D6433B"/>
    <w:rsid w:val="00D65DB7"/>
    <w:rsid w:val="00D66283"/>
    <w:rsid w:val="00D662F2"/>
    <w:rsid w:val="00D6638B"/>
    <w:rsid w:val="00D668C1"/>
    <w:rsid w:val="00D66D5B"/>
    <w:rsid w:val="00D671EE"/>
    <w:rsid w:val="00D67253"/>
    <w:rsid w:val="00D702B6"/>
    <w:rsid w:val="00D70DCF"/>
    <w:rsid w:val="00D71015"/>
    <w:rsid w:val="00D72EFB"/>
    <w:rsid w:val="00D7342F"/>
    <w:rsid w:val="00D73699"/>
    <w:rsid w:val="00D73B82"/>
    <w:rsid w:val="00D74AE1"/>
    <w:rsid w:val="00D76C9F"/>
    <w:rsid w:val="00D77427"/>
    <w:rsid w:val="00D77B72"/>
    <w:rsid w:val="00D77BE2"/>
    <w:rsid w:val="00D80321"/>
    <w:rsid w:val="00D80AF8"/>
    <w:rsid w:val="00D80D50"/>
    <w:rsid w:val="00D81126"/>
    <w:rsid w:val="00D833A8"/>
    <w:rsid w:val="00D8353F"/>
    <w:rsid w:val="00D83BD5"/>
    <w:rsid w:val="00D84088"/>
    <w:rsid w:val="00D8417D"/>
    <w:rsid w:val="00D84A47"/>
    <w:rsid w:val="00D851F0"/>
    <w:rsid w:val="00D85A4F"/>
    <w:rsid w:val="00D85B4E"/>
    <w:rsid w:val="00D85D61"/>
    <w:rsid w:val="00D8647B"/>
    <w:rsid w:val="00D87CE9"/>
    <w:rsid w:val="00D904DC"/>
    <w:rsid w:val="00D9145D"/>
    <w:rsid w:val="00D92062"/>
    <w:rsid w:val="00D923F6"/>
    <w:rsid w:val="00D938A2"/>
    <w:rsid w:val="00D94D63"/>
    <w:rsid w:val="00D951D8"/>
    <w:rsid w:val="00D963C4"/>
    <w:rsid w:val="00D9766D"/>
    <w:rsid w:val="00D97927"/>
    <w:rsid w:val="00DA0112"/>
    <w:rsid w:val="00DA0F6E"/>
    <w:rsid w:val="00DA1B8F"/>
    <w:rsid w:val="00DA1E36"/>
    <w:rsid w:val="00DA24B4"/>
    <w:rsid w:val="00DA28E8"/>
    <w:rsid w:val="00DA29FA"/>
    <w:rsid w:val="00DA310F"/>
    <w:rsid w:val="00DA318A"/>
    <w:rsid w:val="00DA35C7"/>
    <w:rsid w:val="00DA4024"/>
    <w:rsid w:val="00DA4F15"/>
    <w:rsid w:val="00DA53DE"/>
    <w:rsid w:val="00DA6B35"/>
    <w:rsid w:val="00DA6B58"/>
    <w:rsid w:val="00DA76F9"/>
    <w:rsid w:val="00DA7C5D"/>
    <w:rsid w:val="00DA7F75"/>
    <w:rsid w:val="00DA7FD0"/>
    <w:rsid w:val="00DB0621"/>
    <w:rsid w:val="00DB0DD6"/>
    <w:rsid w:val="00DB2504"/>
    <w:rsid w:val="00DB302C"/>
    <w:rsid w:val="00DB33B8"/>
    <w:rsid w:val="00DB3C07"/>
    <w:rsid w:val="00DB3F1C"/>
    <w:rsid w:val="00DB576B"/>
    <w:rsid w:val="00DB6F39"/>
    <w:rsid w:val="00DB7914"/>
    <w:rsid w:val="00DC024E"/>
    <w:rsid w:val="00DC1EEA"/>
    <w:rsid w:val="00DC1F70"/>
    <w:rsid w:val="00DC2F1F"/>
    <w:rsid w:val="00DC3513"/>
    <w:rsid w:val="00DC4659"/>
    <w:rsid w:val="00DC5B7A"/>
    <w:rsid w:val="00DC6816"/>
    <w:rsid w:val="00DD0B0A"/>
    <w:rsid w:val="00DD1BE0"/>
    <w:rsid w:val="00DD1CDC"/>
    <w:rsid w:val="00DD22E3"/>
    <w:rsid w:val="00DD2874"/>
    <w:rsid w:val="00DD3F0D"/>
    <w:rsid w:val="00DD488C"/>
    <w:rsid w:val="00DD50DF"/>
    <w:rsid w:val="00DD54A3"/>
    <w:rsid w:val="00DD62D0"/>
    <w:rsid w:val="00DD7A14"/>
    <w:rsid w:val="00DE0F3F"/>
    <w:rsid w:val="00DE2196"/>
    <w:rsid w:val="00DE253A"/>
    <w:rsid w:val="00DE301F"/>
    <w:rsid w:val="00DE376C"/>
    <w:rsid w:val="00DE3CFB"/>
    <w:rsid w:val="00DE40E4"/>
    <w:rsid w:val="00DE4C74"/>
    <w:rsid w:val="00DE65CA"/>
    <w:rsid w:val="00DE6989"/>
    <w:rsid w:val="00DE6EAE"/>
    <w:rsid w:val="00DE7632"/>
    <w:rsid w:val="00DE7658"/>
    <w:rsid w:val="00DF0869"/>
    <w:rsid w:val="00DF30CA"/>
    <w:rsid w:val="00DF34DC"/>
    <w:rsid w:val="00DF38CB"/>
    <w:rsid w:val="00DF39F3"/>
    <w:rsid w:val="00DF3F27"/>
    <w:rsid w:val="00DF56D8"/>
    <w:rsid w:val="00DF592C"/>
    <w:rsid w:val="00DF6028"/>
    <w:rsid w:val="00DF60A9"/>
    <w:rsid w:val="00DF70DE"/>
    <w:rsid w:val="00DF76C2"/>
    <w:rsid w:val="00E013B8"/>
    <w:rsid w:val="00E01703"/>
    <w:rsid w:val="00E025C2"/>
    <w:rsid w:val="00E03DEB"/>
    <w:rsid w:val="00E04C03"/>
    <w:rsid w:val="00E054C1"/>
    <w:rsid w:val="00E055F2"/>
    <w:rsid w:val="00E05A80"/>
    <w:rsid w:val="00E06CC9"/>
    <w:rsid w:val="00E0723D"/>
    <w:rsid w:val="00E102C1"/>
    <w:rsid w:val="00E107BC"/>
    <w:rsid w:val="00E120E6"/>
    <w:rsid w:val="00E12509"/>
    <w:rsid w:val="00E128A0"/>
    <w:rsid w:val="00E136C6"/>
    <w:rsid w:val="00E13749"/>
    <w:rsid w:val="00E138D0"/>
    <w:rsid w:val="00E146A3"/>
    <w:rsid w:val="00E15A65"/>
    <w:rsid w:val="00E15CC3"/>
    <w:rsid w:val="00E166C7"/>
    <w:rsid w:val="00E166FC"/>
    <w:rsid w:val="00E17E75"/>
    <w:rsid w:val="00E20828"/>
    <w:rsid w:val="00E20A44"/>
    <w:rsid w:val="00E2161F"/>
    <w:rsid w:val="00E219EF"/>
    <w:rsid w:val="00E22DBC"/>
    <w:rsid w:val="00E2368A"/>
    <w:rsid w:val="00E23706"/>
    <w:rsid w:val="00E23A06"/>
    <w:rsid w:val="00E24356"/>
    <w:rsid w:val="00E244B1"/>
    <w:rsid w:val="00E2497F"/>
    <w:rsid w:val="00E25226"/>
    <w:rsid w:val="00E2543A"/>
    <w:rsid w:val="00E255B2"/>
    <w:rsid w:val="00E25A41"/>
    <w:rsid w:val="00E260CC"/>
    <w:rsid w:val="00E268BA"/>
    <w:rsid w:val="00E26916"/>
    <w:rsid w:val="00E272CE"/>
    <w:rsid w:val="00E273FD"/>
    <w:rsid w:val="00E27863"/>
    <w:rsid w:val="00E30494"/>
    <w:rsid w:val="00E3108C"/>
    <w:rsid w:val="00E3187D"/>
    <w:rsid w:val="00E322A9"/>
    <w:rsid w:val="00E3322C"/>
    <w:rsid w:val="00E3439A"/>
    <w:rsid w:val="00E34822"/>
    <w:rsid w:val="00E357B8"/>
    <w:rsid w:val="00E35CBE"/>
    <w:rsid w:val="00E3725A"/>
    <w:rsid w:val="00E37A21"/>
    <w:rsid w:val="00E37C90"/>
    <w:rsid w:val="00E424BB"/>
    <w:rsid w:val="00E4288F"/>
    <w:rsid w:val="00E436FF"/>
    <w:rsid w:val="00E4479C"/>
    <w:rsid w:val="00E451BC"/>
    <w:rsid w:val="00E45526"/>
    <w:rsid w:val="00E45BBB"/>
    <w:rsid w:val="00E46011"/>
    <w:rsid w:val="00E46920"/>
    <w:rsid w:val="00E47224"/>
    <w:rsid w:val="00E478B5"/>
    <w:rsid w:val="00E47A77"/>
    <w:rsid w:val="00E51195"/>
    <w:rsid w:val="00E53FE4"/>
    <w:rsid w:val="00E54B9E"/>
    <w:rsid w:val="00E5537C"/>
    <w:rsid w:val="00E56778"/>
    <w:rsid w:val="00E56BFB"/>
    <w:rsid w:val="00E5731E"/>
    <w:rsid w:val="00E61E59"/>
    <w:rsid w:val="00E644F9"/>
    <w:rsid w:val="00E64901"/>
    <w:rsid w:val="00E64F68"/>
    <w:rsid w:val="00E65CD1"/>
    <w:rsid w:val="00E65E2C"/>
    <w:rsid w:val="00E666D8"/>
    <w:rsid w:val="00E7065D"/>
    <w:rsid w:val="00E708F3"/>
    <w:rsid w:val="00E71C25"/>
    <w:rsid w:val="00E72768"/>
    <w:rsid w:val="00E736A9"/>
    <w:rsid w:val="00E74750"/>
    <w:rsid w:val="00E748FD"/>
    <w:rsid w:val="00E74B80"/>
    <w:rsid w:val="00E75AB8"/>
    <w:rsid w:val="00E7661F"/>
    <w:rsid w:val="00E776C7"/>
    <w:rsid w:val="00E800D3"/>
    <w:rsid w:val="00E807DF"/>
    <w:rsid w:val="00E81DA3"/>
    <w:rsid w:val="00E8223E"/>
    <w:rsid w:val="00E823A8"/>
    <w:rsid w:val="00E8253E"/>
    <w:rsid w:val="00E831F8"/>
    <w:rsid w:val="00E83A42"/>
    <w:rsid w:val="00E86A93"/>
    <w:rsid w:val="00E8776A"/>
    <w:rsid w:val="00E91158"/>
    <w:rsid w:val="00E918BD"/>
    <w:rsid w:val="00E91DFE"/>
    <w:rsid w:val="00E92F5A"/>
    <w:rsid w:val="00E949BA"/>
    <w:rsid w:val="00E95887"/>
    <w:rsid w:val="00E9590A"/>
    <w:rsid w:val="00E9693E"/>
    <w:rsid w:val="00E978D5"/>
    <w:rsid w:val="00EA08C3"/>
    <w:rsid w:val="00EA1686"/>
    <w:rsid w:val="00EA3B3B"/>
    <w:rsid w:val="00EA5D6C"/>
    <w:rsid w:val="00EA65AA"/>
    <w:rsid w:val="00EA7B83"/>
    <w:rsid w:val="00EB073D"/>
    <w:rsid w:val="00EB1DC7"/>
    <w:rsid w:val="00EB2FD9"/>
    <w:rsid w:val="00EB5B8B"/>
    <w:rsid w:val="00EB66D7"/>
    <w:rsid w:val="00EB6783"/>
    <w:rsid w:val="00EB77C9"/>
    <w:rsid w:val="00EC0989"/>
    <w:rsid w:val="00EC0A45"/>
    <w:rsid w:val="00EC0EA3"/>
    <w:rsid w:val="00EC2A3D"/>
    <w:rsid w:val="00EC33F6"/>
    <w:rsid w:val="00EC36A3"/>
    <w:rsid w:val="00EC3A02"/>
    <w:rsid w:val="00EC685A"/>
    <w:rsid w:val="00EC6BBB"/>
    <w:rsid w:val="00EC6DB1"/>
    <w:rsid w:val="00EC777F"/>
    <w:rsid w:val="00ED0170"/>
    <w:rsid w:val="00ED2DB6"/>
    <w:rsid w:val="00ED2E1C"/>
    <w:rsid w:val="00ED4E2E"/>
    <w:rsid w:val="00ED5648"/>
    <w:rsid w:val="00ED68B1"/>
    <w:rsid w:val="00ED6C46"/>
    <w:rsid w:val="00ED777F"/>
    <w:rsid w:val="00ED79E9"/>
    <w:rsid w:val="00EE0536"/>
    <w:rsid w:val="00EE0D2B"/>
    <w:rsid w:val="00EE2207"/>
    <w:rsid w:val="00EE30A0"/>
    <w:rsid w:val="00EE36A2"/>
    <w:rsid w:val="00EE38A3"/>
    <w:rsid w:val="00EE519F"/>
    <w:rsid w:val="00EE6E27"/>
    <w:rsid w:val="00EE7383"/>
    <w:rsid w:val="00EF11C4"/>
    <w:rsid w:val="00EF18EE"/>
    <w:rsid w:val="00EF1E3B"/>
    <w:rsid w:val="00EF4566"/>
    <w:rsid w:val="00EF4BAE"/>
    <w:rsid w:val="00EF5DFB"/>
    <w:rsid w:val="00EF6A92"/>
    <w:rsid w:val="00EF6B20"/>
    <w:rsid w:val="00EF6BC0"/>
    <w:rsid w:val="00EF766F"/>
    <w:rsid w:val="00EF7E7B"/>
    <w:rsid w:val="00F00A56"/>
    <w:rsid w:val="00F0191D"/>
    <w:rsid w:val="00F027C3"/>
    <w:rsid w:val="00F02BD2"/>
    <w:rsid w:val="00F02ED7"/>
    <w:rsid w:val="00F03A86"/>
    <w:rsid w:val="00F03F60"/>
    <w:rsid w:val="00F146AD"/>
    <w:rsid w:val="00F14BB2"/>
    <w:rsid w:val="00F1529A"/>
    <w:rsid w:val="00F16343"/>
    <w:rsid w:val="00F16AE2"/>
    <w:rsid w:val="00F17470"/>
    <w:rsid w:val="00F17866"/>
    <w:rsid w:val="00F205C6"/>
    <w:rsid w:val="00F20D17"/>
    <w:rsid w:val="00F22580"/>
    <w:rsid w:val="00F227D4"/>
    <w:rsid w:val="00F22F7B"/>
    <w:rsid w:val="00F2486C"/>
    <w:rsid w:val="00F252C2"/>
    <w:rsid w:val="00F25BA7"/>
    <w:rsid w:val="00F25E73"/>
    <w:rsid w:val="00F26480"/>
    <w:rsid w:val="00F26581"/>
    <w:rsid w:val="00F30122"/>
    <w:rsid w:val="00F307E9"/>
    <w:rsid w:val="00F3217C"/>
    <w:rsid w:val="00F326B5"/>
    <w:rsid w:val="00F32F65"/>
    <w:rsid w:val="00F3360E"/>
    <w:rsid w:val="00F3363C"/>
    <w:rsid w:val="00F33BDD"/>
    <w:rsid w:val="00F34012"/>
    <w:rsid w:val="00F35898"/>
    <w:rsid w:val="00F36125"/>
    <w:rsid w:val="00F37D96"/>
    <w:rsid w:val="00F40757"/>
    <w:rsid w:val="00F40B1C"/>
    <w:rsid w:val="00F40C74"/>
    <w:rsid w:val="00F4138F"/>
    <w:rsid w:val="00F41724"/>
    <w:rsid w:val="00F418CE"/>
    <w:rsid w:val="00F41B04"/>
    <w:rsid w:val="00F4202B"/>
    <w:rsid w:val="00F4249F"/>
    <w:rsid w:val="00F443F2"/>
    <w:rsid w:val="00F44C0A"/>
    <w:rsid w:val="00F46C59"/>
    <w:rsid w:val="00F4709B"/>
    <w:rsid w:val="00F47E12"/>
    <w:rsid w:val="00F5036F"/>
    <w:rsid w:val="00F512C2"/>
    <w:rsid w:val="00F51FD9"/>
    <w:rsid w:val="00F53632"/>
    <w:rsid w:val="00F537A1"/>
    <w:rsid w:val="00F54FA8"/>
    <w:rsid w:val="00F5584E"/>
    <w:rsid w:val="00F55A30"/>
    <w:rsid w:val="00F5710D"/>
    <w:rsid w:val="00F5748E"/>
    <w:rsid w:val="00F5798E"/>
    <w:rsid w:val="00F579D6"/>
    <w:rsid w:val="00F57A86"/>
    <w:rsid w:val="00F612FB"/>
    <w:rsid w:val="00F6277E"/>
    <w:rsid w:val="00F632BC"/>
    <w:rsid w:val="00F6333D"/>
    <w:rsid w:val="00F63F4E"/>
    <w:rsid w:val="00F64475"/>
    <w:rsid w:val="00F645F9"/>
    <w:rsid w:val="00F65E7F"/>
    <w:rsid w:val="00F6630A"/>
    <w:rsid w:val="00F66B1B"/>
    <w:rsid w:val="00F67344"/>
    <w:rsid w:val="00F70AFC"/>
    <w:rsid w:val="00F71348"/>
    <w:rsid w:val="00F7201E"/>
    <w:rsid w:val="00F72115"/>
    <w:rsid w:val="00F737BE"/>
    <w:rsid w:val="00F7396F"/>
    <w:rsid w:val="00F73FD5"/>
    <w:rsid w:val="00F755EA"/>
    <w:rsid w:val="00F75AA7"/>
    <w:rsid w:val="00F7604C"/>
    <w:rsid w:val="00F80CCD"/>
    <w:rsid w:val="00F81879"/>
    <w:rsid w:val="00F82122"/>
    <w:rsid w:val="00F82EB9"/>
    <w:rsid w:val="00F837A1"/>
    <w:rsid w:val="00F84E26"/>
    <w:rsid w:val="00F8527B"/>
    <w:rsid w:val="00F85B47"/>
    <w:rsid w:val="00F85DE9"/>
    <w:rsid w:val="00F8671A"/>
    <w:rsid w:val="00F86F3F"/>
    <w:rsid w:val="00F87C6A"/>
    <w:rsid w:val="00F90330"/>
    <w:rsid w:val="00F90332"/>
    <w:rsid w:val="00F917FE"/>
    <w:rsid w:val="00F9187C"/>
    <w:rsid w:val="00F91A27"/>
    <w:rsid w:val="00F929F2"/>
    <w:rsid w:val="00F933E7"/>
    <w:rsid w:val="00F9363D"/>
    <w:rsid w:val="00F949AD"/>
    <w:rsid w:val="00F94A65"/>
    <w:rsid w:val="00F9799A"/>
    <w:rsid w:val="00F97C8A"/>
    <w:rsid w:val="00FA0802"/>
    <w:rsid w:val="00FA1C80"/>
    <w:rsid w:val="00FA1D38"/>
    <w:rsid w:val="00FA3794"/>
    <w:rsid w:val="00FA5374"/>
    <w:rsid w:val="00FA5585"/>
    <w:rsid w:val="00FA5D9C"/>
    <w:rsid w:val="00FB1E40"/>
    <w:rsid w:val="00FB2CE0"/>
    <w:rsid w:val="00FB3F1E"/>
    <w:rsid w:val="00FB4A08"/>
    <w:rsid w:val="00FB4EFF"/>
    <w:rsid w:val="00FB547B"/>
    <w:rsid w:val="00FB5691"/>
    <w:rsid w:val="00FB5F6A"/>
    <w:rsid w:val="00FC3A00"/>
    <w:rsid w:val="00FC4D58"/>
    <w:rsid w:val="00FC4F68"/>
    <w:rsid w:val="00FC55EE"/>
    <w:rsid w:val="00FC62BE"/>
    <w:rsid w:val="00FD0241"/>
    <w:rsid w:val="00FD0619"/>
    <w:rsid w:val="00FD064D"/>
    <w:rsid w:val="00FD2205"/>
    <w:rsid w:val="00FD2B15"/>
    <w:rsid w:val="00FD47B1"/>
    <w:rsid w:val="00FD4D51"/>
    <w:rsid w:val="00FD53B4"/>
    <w:rsid w:val="00FD5E8A"/>
    <w:rsid w:val="00FD67C5"/>
    <w:rsid w:val="00FD7259"/>
    <w:rsid w:val="00FD78DA"/>
    <w:rsid w:val="00FE090A"/>
    <w:rsid w:val="00FE0AC1"/>
    <w:rsid w:val="00FE2808"/>
    <w:rsid w:val="00FE2BA5"/>
    <w:rsid w:val="00FE7E4A"/>
    <w:rsid w:val="00FF1318"/>
    <w:rsid w:val="00FF139B"/>
    <w:rsid w:val="00FF1B4B"/>
    <w:rsid w:val="00FF26F3"/>
    <w:rsid w:val="00FF2999"/>
    <w:rsid w:val="00FF520D"/>
    <w:rsid w:val="00FF5E3A"/>
    <w:rsid w:val="00FF5F15"/>
    <w:rsid w:val="00FF69B4"/>
    <w:rsid w:val="00FF75CA"/>
    <w:rsid w:val="00FF7B32"/>
    <w:rsid w:val="016F0A91"/>
    <w:rsid w:val="01B760E5"/>
    <w:rsid w:val="01C722C2"/>
    <w:rsid w:val="01D64F30"/>
    <w:rsid w:val="01F14558"/>
    <w:rsid w:val="01F46D96"/>
    <w:rsid w:val="024502DE"/>
    <w:rsid w:val="047024A3"/>
    <w:rsid w:val="048D48BA"/>
    <w:rsid w:val="04C95AAC"/>
    <w:rsid w:val="052623B7"/>
    <w:rsid w:val="05AD347A"/>
    <w:rsid w:val="05DF0A72"/>
    <w:rsid w:val="06090251"/>
    <w:rsid w:val="072133D8"/>
    <w:rsid w:val="073361B3"/>
    <w:rsid w:val="07C74734"/>
    <w:rsid w:val="07CC7C98"/>
    <w:rsid w:val="07D318EC"/>
    <w:rsid w:val="08616D02"/>
    <w:rsid w:val="08FB32F2"/>
    <w:rsid w:val="09BD5363"/>
    <w:rsid w:val="09E554B3"/>
    <w:rsid w:val="0A6F0BCB"/>
    <w:rsid w:val="0A7A7CFA"/>
    <w:rsid w:val="0A9E140E"/>
    <w:rsid w:val="0B2A3652"/>
    <w:rsid w:val="0B6D12A2"/>
    <w:rsid w:val="0B8B4B7A"/>
    <w:rsid w:val="0C304A9F"/>
    <w:rsid w:val="0C6819C6"/>
    <w:rsid w:val="0C6E4CDB"/>
    <w:rsid w:val="0CE23634"/>
    <w:rsid w:val="0D09681D"/>
    <w:rsid w:val="0D27729E"/>
    <w:rsid w:val="0E690DC7"/>
    <w:rsid w:val="0E965E5F"/>
    <w:rsid w:val="0FC14720"/>
    <w:rsid w:val="0FF060C1"/>
    <w:rsid w:val="101508CC"/>
    <w:rsid w:val="11907471"/>
    <w:rsid w:val="11FD47B4"/>
    <w:rsid w:val="12597320"/>
    <w:rsid w:val="128636CB"/>
    <w:rsid w:val="12B070B3"/>
    <w:rsid w:val="139327DB"/>
    <w:rsid w:val="15211442"/>
    <w:rsid w:val="15436461"/>
    <w:rsid w:val="157F54B5"/>
    <w:rsid w:val="15A5417B"/>
    <w:rsid w:val="15FF3418"/>
    <w:rsid w:val="16107547"/>
    <w:rsid w:val="16830F50"/>
    <w:rsid w:val="16A551BA"/>
    <w:rsid w:val="16B272A7"/>
    <w:rsid w:val="16E5321A"/>
    <w:rsid w:val="17905380"/>
    <w:rsid w:val="180916EC"/>
    <w:rsid w:val="180B3F56"/>
    <w:rsid w:val="18235EE4"/>
    <w:rsid w:val="184822D8"/>
    <w:rsid w:val="185C6381"/>
    <w:rsid w:val="185F6284"/>
    <w:rsid w:val="18855853"/>
    <w:rsid w:val="18D550A7"/>
    <w:rsid w:val="19377828"/>
    <w:rsid w:val="197D0FE6"/>
    <w:rsid w:val="19DE7E99"/>
    <w:rsid w:val="1A7B7BD7"/>
    <w:rsid w:val="1BC0687F"/>
    <w:rsid w:val="1CC34BCE"/>
    <w:rsid w:val="1CD16C28"/>
    <w:rsid w:val="1D574465"/>
    <w:rsid w:val="1D730DA5"/>
    <w:rsid w:val="1E143623"/>
    <w:rsid w:val="1E672DC4"/>
    <w:rsid w:val="1EED46BE"/>
    <w:rsid w:val="1F132900"/>
    <w:rsid w:val="1FA65BC1"/>
    <w:rsid w:val="20011E67"/>
    <w:rsid w:val="20677FF3"/>
    <w:rsid w:val="20CD3C08"/>
    <w:rsid w:val="20D72801"/>
    <w:rsid w:val="20F32F05"/>
    <w:rsid w:val="20FA73FE"/>
    <w:rsid w:val="212C0A87"/>
    <w:rsid w:val="21E56651"/>
    <w:rsid w:val="2239121D"/>
    <w:rsid w:val="22B23F68"/>
    <w:rsid w:val="22C35F8E"/>
    <w:rsid w:val="236440F2"/>
    <w:rsid w:val="23D70B7F"/>
    <w:rsid w:val="23DB7A34"/>
    <w:rsid w:val="2450574A"/>
    <w:rsid w:val="2467660B"/>
    <w:rsid w:val="25682242"/>
    <w:rsid w:val="26194048"/>
    <w:rsid w:val="26A82522"/>
    <w:rsid w:val="26E768F4"/>
    <w:rsid w:val="272245E0"/>
    <w:rsid w:val="27444F63"/>
    <w:rsid w:val="27571C65"/>
    <w:rsid w:val="2783086D"/>
    <w:rsid w:val="27900323"/>
    <w:rsid w:val="27F4716E"/>
    <w:rsid w:val="27F75EC3"/>
    <w:rsid w:val="28070E73"/>
    <w:rsid w:val="299508C7"/>
    <w:rsid w:val="29ED4A38"/>
    <w:rsid w:val="2AC17FCB"/>
    <w:rsid w:val="2AF6782C"/>
    <w:rsid w:val="2B194EED"/>
    <w:rsid w:val="2BD664CD"/>
    <w:rsid w:val="2BF47374"/>
    <w:rsid w:val="2C072C64"/>
    <w:rsid w:val="2D554D1E"/>
    <w:rsid w:val="2D925EC4"/>
    <w:rsid w:val="2DB907D2"/>
    <w:rsid w:val="2DDE293F"/>
    <w:rsid w:val="2EB857A7"/>
    <w:rsid w:val="2F65768F"/>
    <w:rsid w:val="2F746463"/>
    <w:rsid w:val="2F920EC1"/>
    <w:rsid w:val="305D7077"/>
    <w:rsid w:val="308D221E"/>
    <w:rsid w:val="312E2993"/>
    <w:rsid w:val="317E5239"/>
    <w:rsid w:val="31D76134"/>
    <w:rsid w:val="32D47463"/>
    <w:rsid w:val="32D9254F"/>
    <w:rsid w:val="33D3297C"/>
    <w:rsid w:val="345F4250"/>
    <w:rsid w:val="346721EF"/>
    <w:rsid w:val="355C2AFF"/>
    <w:rsid w:val="357E0F50"/>
    <w:rsid w:val="362679A1"/>
    <w:rsid w:val="36746DC0"/>
    <w:rsid w:val="36A82E66"/>
    <w:rsid w:val="382D7F2B"/>
    <w:rsid w:val="38E05516"/>
    <w:rsid w:val="38EA1636"/>
    <w:rsid w:val="39341706"/>
    <w:rsid w:val="3A425821"/>
    <w:rsid w:val="3B465D79"/>
    <w:rsid w:val="3B4771B1"/>
    <w:rsid w:val="3C537E70"/>
    <w:rsid w:val="3D02642C"/>
    <w:rsid w:val="3D343EB0"/>
    <w:rsid w:val="3D99238C"/>
    <w:rsid w:val="3E085A8B"/>
    <w:rsid w:val="3EE8634B"/>
    <w:rsid w:val="3F5773FC"/>
    <w:rsid w:val="3FF633C4"/>
    <w:rsid w:val="40125ED4"/>
    <w:rsid w:val="40637FFF"/>
    <w:rsid w:val="40A5748E"/>
    <w:rsid w:val="4215267F"/>
    <w:rsid w:val="42F17DE4"/>
    <w:rsid w:val="431465FA"/>
    <w:rsid w:val="435264CA"/>
    <w:rsid w:val="43A365CD"/>
    <w:rsid w:val="43A617C7"/>
    <w:rsid w:val="43D222B8"/>
    <w:rsid w:val="43EF5017"/>
    <w:rsid w:val="43F066A6"/>
    <w:rsid w:val="44286BBA"/>
    <w:rsid w:val="447D4F2A"/>
    <w:rsid w:val="44F551D3"/>
    <w:rsid w:val="45D11236"/>
    <w:rsid w:val="45FB56EF"/>
    <w:rsid w:val="46CE0E1F"/>
    <w:rsid w:val="46E6736D"/>
    <w:rsid w:val="47FD2A33"/>
    <w:rsid w:val="48B07450"/>
    <w:rsid w:val="494C42A2"/>
    <w:rsid w:val="49C9799C"/>
    <w:rsid w:val="49F70AD4"/>
    <w:rsid w:val="4A8A54B2"/>
    <w:rsid w:val="4AFB60C8"/>
    <w:rsid w:val="4B062B31"/>
    <w:rsid w:val="4B5E0517"/>
    <w:rsid w:val="4B88083B"/>
    <w:rsid w:val="4B960B6B"/>
    <w:rsid w:val="4C4F4AAE"/>
    <w:rsid w:val="4C735684"/>
    <w:rsid w:val="4C914175"/>
    <w:rsid w:val="4D270F62"/>
    <w:rsid w:val="4D554A94"/>
    <w:rsid w:val="4D88058B"/>
    <w:rsid w:val="4DC22994"/>
    <w:rsid w:val="4DD070FC"/>
    <w:rsid w:val="4F597A18"/>
    <w:rsid w:val="4F5D2735"/>
    <w:rsid w:val="4FA41FE2"/>
    <w:rsid w:val="4FAB016E"/>
    <w:rsid w:val="4FCF31C4"/>
    <w:rsid w:val="503960CB"/>
    <w:rsid w:val="504B1444"/>
    <w:rsid w:val="50D14BB5"/>
    <w:rsid w:val="511D3782"/>
    <w:rsid w:val="518E4DD0"/>
    <w:rsid w:val="519D3ED8"/>
    <w:rsid w:val="521F41D7"/>
    <w:rsid w:val="524435DE"/>
    <w:rsid w:val="52824A68"/>
    <w:rsid w:val="52E74DF0"/>
    <w:rsid w:val="536743B5"/>
    <w:rsid w:val="53E5612E"/>
    <w:rsid w:val="548920C0"/>
    <w:rsid w:val="553E3DCC"/>
    <w:rsid w:val="568F346A"/>
    <w:rsid w:val="57066AD0"/>
    <w:rsid w:val="57257051"/>
    <w:rsid w:val="586174E5"/>
    <w:rsid w:val="58D61A49"/>
    <w:rsid w:val="58E30889"/>
    <w:rsid w:val="597A5E6B"/>
    <w:rsid w:val="5A4D251F"/>
    <w:rsid w:val="5A696E75"/>
    <w:rsid w:val="5A923DEF"/>
    <w:rsid w:val="5AB04AE2"/>
    <w:rsid w:val="5B136E14"/>
    <w:rsid w:val="5B1A1261"/>
    <w:rsid w:val="5B846B39"/>
    <w:rsid w:val="5C121588"/>
    <w:rsid w:val="5C4F1FF5"/>
    <w:rsid w:val="5C7F5891"/>
    <w:rsid w:val="5CF53EA1"/>
    <w:rsid w:val="5D1908B7"/>
    <w:rsid w:val="5DE23F89"/>
    <w:rsid w:val="5E641437"/>
    <w:rsid w:val="5E743309"/>
    <w:rsid w:val="5EA13FA0"/>
    <w:rsid w:val="5EE10509"/>
    <w:rsid w:val="5F56736D"/>
    <w:rsid w:val="60491DC9"/>
    <w:rsid w:val="60BE2F28"/>
    <w:rsid w:val="60CE6181"/>
    <w:rsid w:val="60E92CAA"/>
    <w:rsid w:val="615D5AA3"/>
    <w:rsid w:val="616022F3"/>
    <w:rsid w:val="6162299C"/>
    <w:rsid w:val="61A9383B"/>
    <w:rsid w:val="621C4F72"/>
    <w:rsid w:val="624E0FE6"/>
    <w:rsid w:val="62D941C6"/>
    <w:rsid w:val="63660B97"/>
    <w:rsid w:val="63C97AE6"/>
    <w:rsid w:val="63FA3DE7"/>
    <w:rsid w:val="657F34D1"/>
    <w:rsid w:val="65C32634"/>
    <w:rsid w:val="678B09D5"/>
    <w:rsid w:val="67975820"/>
    <w:rsid w:val="67E173C7"/>
    <w:rsid w:val="67F820A3"/>
    <w:rsid w:val="681C69BF"/>
    <w:rsid w:val="68DD013A"/>
    <w:rsid w:val="68E47623"/>
    <w:rsid w:val="69591680"/>
    <w:rsid w:val="69976F67"/>
    <w:rsid w:val="69C27018"/>
    <w:rsid w:val="69C733B1"/>
    <w:rsid w:val="6A932675"/>
    <w:rsid w:val="6AE709F3"/>
    <w:rsid w:val="6B1D2912"/>
    <w:rsid w:val="6B72368D"/>
    <w:rsid w:val="6BF031DF"/>
    <w:rsid w:val="6BF35149"/>
    <w:rsid w:val="6C111D98"/>
    <w:rsid w:val="6C3A16BF"/>
    <w:rsid w:val="6D1E745C"/>
    <w:rsid w:val="6E047E19"/>
    <w:rsid w:val="6E633758"/>
    <w:rsid w:val="6E671184"/>
    <w:rsid w:val="6E8E5305"/>
    <w:rsid w:val="6EBC4488"/>
    <w:rsid w:val="6FD67577"/>
    <w:rsid w:val="705B355C"/>
    <w:rsid w:val="713A2E7D"/>
    <w:rsid w:val="71545569"/>
    <w:rsid w:val="71B4084A"/>
    <w:rsid w:val="71ED6173"/>
    <w:rsid w:val="720F6C42"/>
    <w:rsid w:val="72533628"/>
    <w:rsid w:val="727F649A"/>
    <w:rsid w:val="72B94C71"/>
    <w:rsid w:val="72C12682"/>
    <w:rsid w:val="734E4478"/>
    <w:rsid w:val="73827B3A"/>
    <w:rsid w:val="73D542B3"/>
    <w:rsid w:val="73F53423"/>
    <w:rsid w:val="747B08A9"/>
    <w:rsid w:val="74FC26E5"/>
    <w:rsid w:val="751264A1"/>
    <w:rsid w:val="75F24D84"/>
    <w:rsid w:val="75F65CA6"/>
    <w:rsid w:val="764D1B31"/>
    <w:rsid w:val="7676721A"/>
    <w:rsid w:val="76F6322B"/>
    <w:rsid w:val="775510F1"/>
    <w:rsid w:val="78E64DD1"/>
    <w:rsid w:val="79BF252A"/>
    <w:rsid w:val="79BF5D7C"/>
    <w:rsid w:val="79C37BB6"/>
    <w:rsid w:val="79C63DF5"/>
    <w:rsid w:val="7A177BE7"/>
    <w:rsid w:val="7AAE4112"/>
    <w:rsid w:val="7B7A5C31"/>
    <w:rsid w:val="7C5E0225"/>
    <w:rsid w:val="7CA97541"/>
    <w:rsid w:val="7D086119"/>
    <w:rsid w:val="7D0C75FE"/>
    <w:rsid w:val="7DE22791"/>
    <w:rsid w:val="7E345193"/>
    <w:rsid w:val="7E527584"/>
    <w:rsid w:val="7ED127E3"/>
    <w:rsid w:val="7FA17A77"/>
    <w:rsid w:val="7FEC2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dashstyle="1 1" endcap="round"/>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340" w:after="330" w:line="578" w:lineRule="auto"/>
      <w:outlineLvl w:val="0"/>
    </w:pPr>
    <w:rPr>
      <w:b/>
      <w:bCs/>
      <w:kern w:val="44"/>
      <w:sz w:val="44"/>
      <w:szCs w:val="44"/>
    </w:rPr>
  </w:style>
  <w:style w:type="paragraph" w:styleId="4">
    <w:name w:val="heading 2"/>
    <w:basedOn w:val="1"/>
    <w:next w:val="1"/>
    <w:autoRedefine/>
    <w:qFormat/>
    <w:uiPriority w:val="0"/>
    <w:pPr>
      <w:keepNext/>
      <w:keepLines/>
      <w:spacing w:before="260" w:after="260" w:line="416" w:lineRule="auto"/>
      <w:outlineLvl w:val="1"/>
    </w:pPr>
    <w:rPr>
      <w:rFonts w:ascii="Arial" w:hAnsi="Arial" w:eastAsia="黑体"/>
      <w:b/>
      <w:bCs/>
      <w:sz w:val="32"/>
      <w:szCs w:val="32"/>
    </w:rPr>
  </w:style>
  <w:style w:type="paragraph" w:styleId="5">
    <w:name w:val="heading 3"/>
    <w:basedOn w:val="1"/>
    <w:next w:val="1"/>
    <w:link w:val="67"/>
    <w:autoRedefine/>
    <w:qFormat/>
    <w:uiPriority w:val="0"/>
    <w:pPr>
      <w:keepNext/>
      <w:jc w:val="center"/>
      <w:outlineLvl w:val="2"/>
    </w:pPr>
    <w:rPr>
      <w:b/>
      <w:bCs/>
      <w:sz w:val="28"/>
    </w:rPr>
  </w:style>
  <w:style w:type="paragraph" w:styleId="6">
    <w:name w:val="heading 4"/>
    <w:basedOn w:val="1"/>
    <w:next w:val="1"/>
    <w:autoRedefine/>
    <w:qFormat/>
    <w:uiPriority w:val="0"/>
    <w:pPr>
      <w:keepNext/>
      <w:keepLines/>
      <w:spacing w:before="280" w:after="290" w:line="376" w:lineRule="auto"/>
      <w:outlineLvl w:val="3"/>
    </w:pPr>
    <w:rPr>
      <w:rFonts w:ascii="Arial" w:hAnsi="Arial" w:eastAsia="黑体"/>
      <w:b/>
      <w:bCs/>
      <w:sz w:val="28"/>
      <w:szCs w:val="28"/>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2">
    <w:name w:val="Title"/>
    <w:basedOn w:val="1"/>
    <w:link w:val="50"/>
    <w:autoRedefine/>
    <w:qFormat/>
    <w:uiPriority w:val="10"/>
    <w:pPr>
      <w:spacing w:before="240" w:after="60"/>
      <w:jc w:val="left"/>
      <w:outlineLvl w:val="0"/>
    </w:pPr>
    <w:rPr>
      <w:rFonts w:ascii="Arial" w:hAnsi="Arial" w:cs="Arial"/>
      <w:b/>
      <w:bCs/>
      <w:sz w:val="32"/>
      <w:szCs w:val="32"/>
    </w:rPr>
  </w:style>
  <w:style w:type="paragraph" w:styleId="7">
    <w:name w:val="toc 7"/>
    <w:basedOn w:val="1"/>
    <w:next w:val="1"/>
    <w:autoRedefine/>
    <w:unhideWhenUsed/>
    <w:qFormat/>
    <w:uiPriority w:val="39"/>
    <w:pPr>
      <w:ind w:left="2520" w:leftChars="1200"/>
    </w:pPr>
    <w:rPr>
      <w:rFonts w:asciiTheme="minorHAnsi" w:hAnsiTheme="minorHAnsi" w:eastAsiaTheme="minorEastAsia" w:cstheme="minorBidi"/>
      <w:szCs w:val="22"/>
    </w:rPr>
  </w:style>
  <w:style w:type="paragraph" w:styleId="8">
    <w:name w:val="Document Map"/>
    <w:basedOn w:val="1"/>
    <w:autoRedefine/>
    <w:qFormat/>
    <w:uiPriority w:val="0"/>
    <w:pPr>
      <w:shd w:val="clear" w:color="auto" w:fill="000080"/>
    </w:pPr>
  </w:style>
  <w:style w:type="paragraph" w:styleId="9">
    <w:name w:val="annotation text"/>
    <w:basedOn w:val="1"/>
    <w:link w:val="37"/>
    <w:qFormat/>
    <w:uiPriority w:val="0"/>
    <w:pPr>
      <w:jc w:val="left"/>
    </w:pPr>
    <w:rPr>
      <w:szCs w:val="20"/>
    </w:rPr>
  </w:style>
  <w:style w:type="paragraph" w:styleId="10">
    <w:name w:val="Body Text"/>
    <w:basedOn w:val="1"/>
    <w:link w:val="78"/>
    <w:qFormat/>
    <w:uiPriority w:val="1"/>
    <w:pPr>
      <w:spacing w:after="120"/>
    </w:pPr>
  </w:style>
  <w:style w:type="paragraph" w:styleId="11">
    <w:name w:val="Body Text Indent"/>
    <w:basedOn w:val="1"/>
    <w:qFormat/>
    <w:uiPriority w:val="0"/>
    <w:pPr>
      <w:spacing w:after="120"/>
      <w:ind w:left="420" w:leftChars="200"/>
    </w:pPr>
  </w:style>
  <w:style w:type="paragraph" w:styleId="12">
    <w:name w:val="toc 5"/>
    <w:basedOn w:val="1"/>
    <w:next w:val="1"/>
    <w:autoRedefine/>
    <w:unhideWhenUsed/>
    <w:qFormat/>
    <w:uiPriority w:val="39"/>
    <w:pPr>
      <w:ind w:left="1680" w:leftChars="800"/>
    </w:pPr>
    <w:rPr>
      <w:rFonts w:asciiTheme="minorHAnsi" w:hAnsiTheme="minorHAnsi" w:eastAsiaTheme="minorEastAsia" w:cstheme="minorBidi"/>
      <w:szCs w:val="22"/>
    </w:rPr>
  </w:style>
  <w:style w:type="paragraph" w:styleId="13">
    <w:name w:val="toc 3"/>
    <w:basedOn w:val="1"/>
    <w:next w:val="1"/>
    <w:autoRedefine/>
    <w:qFormat/>
    <w:uiPriority w:val="39"/>
    <w:pPr>
      <w:ind w:left="840" w:leftChars="400"/>
    </w:pPr>
  </w:style>
  <w:style w:type="paragraph" w:styleId="14">
    <w:name w:val="Plain Text"/>
    <w:basedOn w:val="1"/>
    <w:autoRedefine/>
    <w:qFormat/>
    <w:uiPriority w:val="0"/>
    <w:rPr>
      <w:rFonts w:ascii="宋体" w:hAnsi="Courier New"/>
      <w:szCs w:val="20"/>
    </w:rPr>
  </w:style>
  <w:style w:type="paragraph" w:styleId="15">
    <w:name w:val="toc 8"/>
    <w:basedOn w:val="1"/>
    <w:next w:val="1"/>
    <w:autoRedefine/>
    <w:unhideWhenUsed/>
    <w:qFormat/>
    <w:uiPriority w:val="39"/>
    <w:pPr>
      <w:ind w:left="2940" w:leftChars="1400"/>
    </w:pPr>
    <w:rPr>
      <w:rFonts w:asciiTheme="minorHAnsi" w:hAnsiTheme="minorHAnsi" w:eastAsiaTheme="minorEastAsia" w:cstheme="minorBidi"/>
      <w:szCs w:val="22"/>
    </w:rPr>
  </w:style>
  <w:style w:type="paragraph" w:styleId="16">
    <w:name w:val="Date"/>
    <w:basedOn w:val="1"/>
    <w:next w:val="1"/>
    <w:autoRedefine/>
    <w:qFormat/>
    <w:uiPriority w:val="0"/>
    <w:pPr>
      <w:ind w:left="100" w:leftChars="2500"/>
    </w:pPr>
  </w:style>
  <w:style w:type="paragraph" w:styleId="17">
    <w:name w:val="Body Text Indent 2"/>
    <w:basedOn w:val="1"/>
    <w:link w:val="74"/>
    <w:autoRedefine/>
    <w:qFormat/>
    <w:uiPriority w:val="0"/>
    <w:pPr>
      <w:spacing w:after="120"/>
      <w:ind w:firstLine="130" w:firstLineChars="54"/>
      <w:jc w:val="center"/>
    </w:pPr>
    <w:rPr>
      <w:rFonts w:ascii="黑体" w:hAnsi="黑体" w:eastAsia="黑体"/>
      <w:spacing w:val="-20"/>
      <w:sz w:val="28"/>
      <w:szCs w:val="28"/>
    </w:rPr>
  </w:style>
  <w:style w:type="paragraph" w:styleId="18">
    <w:name w:val="Balloon Text"/>
    <w:basedOn w:val="1"/>
    <w:link w:val="49"/>
    <w:qFormat/>
    <w:uiPriority w:val="0"/>
    <w:rPr>
      <w:sz w:val="18"/>
      <w:szCs w:val="18"/>
    </w:rPr>
  </w:style>
  <w:style w:type="paragraph" w:styleId="19">
    <w:name w:val="footer"/>
    <w:basedOn w:val="1"/>
    <w:link w:val="48"/>
    <w:autoRedefine/>
    <w:qFormat/>
    <w:uiPriority w:val="0"/>
    <w:pPr>
      <w:tabs>
        <w:tab w:val="center" w:pos="4153"/>
        <w:tab w:val="right" w:pos="8306"/>
      </w:tabs>
      <w:snapToGrid w:val="0"/>
      <w:ind w:firstLine="360"/>
      <w:jc w:val="right"/>
    </w:pPr>
    <w:rPr>
      <w:sz w:val="24"/>
    </w:rPr>
  </w:style>
  <w:style w:type="paragraph" w:styleId="20">
    <w:name w:val="header"/>
    <w:basedOn w:val="1"/>
    <w:link w:val="43"/>
    <w:qFormat/>
    <w:uiPriority w:val="0"/>
    <w:pPr>
      <w:pBdr>
        <w:bottom w:val="single" w:color="auto" w:sz="6" w:space="1"/>
      </w:pBdr>
      <w:tabs>
        <w:tab w:val="center" w:pos="4153"/>
        <w:tab w:val="right" w:pos="8306"/>
      </w:tabs>
      <w:snapToGrid w:val="0"/>
      <w:jc w:val="center"/>
    </w:pPr>
    <w:rPr>
      <w:sz w:val="18"/>
      <w:szCs w:val="18"/>
    </w:rPr>
  </w:style>
  <w:style w:type="paragraph" w:styleId="21">
    <w:name w:val="toc 1"/>
    <w:basedOn w:val="1"/>
    <w:next w:val="1"/>
    <w:qFormat/>
    <w:uiPriority w:val="39"/>
  </w:style>
  <w:style w:type="paragraph" w:styleId="22">
    <w:name w:val="toc 4"/>
    <w:basedOn w:val="1"/>
    <w:next w:val="1"/>
    <w:autoRedefine/>
    <w:unhideWhenUsed/>
    <w:qFormat/>
    <w:uiPriority w:val="39"/>
    <w:pPr>
      <w:ind w:left="1260" w:leftChars="600"/>
    </w:pPr>
    <w:rPr>
      <w:rFonts w:asciiTheme="minorHAnsi" w:hAnsiTheme="minorHAnsi" w:eastAsiaTheme="minorEastAsia" w:cstheme="minorBidi"/>
      <w:szCs w:val="22"/>
    </w:rPr>
  </w:style>
  <w:style w:type="paragraph" w:styleId="23">
    <w:name w:val="toc 6"/>
    <w:basedOn w:val="1"/>
    <w:next w:val="1"/>
    <w:autoRedefine/>
    <w:unhideWhenUsed/>
    <w:qFormat/>
    <w:uiPriority w:val="39"/>
    <w:pPr>
      <w:ind w:left="2100" w:leftChars="1000"/>
    </w:pPr>
    <w:rPr>
      <w:rFonts w:asciiTheme="minorHAnsi" w:hAnsiTheme="minorHAnsi" w:eastAsiaTheme="minorEastAsia" w:cstheme="minorBidi"/>
      <w:szCs w:val="22"/>
    </w:rPr>
  </w:style>
  <w:style w:type="paragraph" w:styleId="24">
    <w:name w:val="toc 2"/>
    <w:basedOn w:val="1"/>
    <w:next w:val="1"/>
    <w:autoRedefine/>
    <w:qFormat/>
    <w:uiPriority w:val="39"/>
    <w:pPr>
      <w:ind w:left="420" w:leftChars="200"/>
    </w:pPr>
  </w:style>
  <w:style w:type="paragraph" w:styleId="25">
    <w:name w:val="toc 9"/>
    <w:basedOn w:val="1"/>
    <w:next w:val="1"/>
    <w:unhideWhenUsed/>
    <w:qFormat/>
    <w:uiPriority w:val="39"/>
    <w:pPr>
      <w:ind w:left="3360" w:leftChars="1600"/>
    </w:pPr>
    <w:rPr>
      <w:rFonts w:asciiTheme="minorHAnsi" w:hAnsiTheme="minorHAnsi" w:eastAsiaTheme="minorEastAsia" w:cstheme="minorBidi"/>
      <w:szCs w:val="22"/>
    </w:rPr>
  </w:style>
  <w:style w:type="paragraph" w:styleId="26">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27">
    <w:name w:val="annotation subject"/>
    <w:basedOn w:val="9"/>
    <w:next w:val="9"/>
    <w:link w:val="41"/>
    <w:autoRedefine/>
    <w:qFormat/>
    <w:uiPriority w:val="0"/>
    <w:rPr>
      <w:b/>
      <w:bCs/>
      <w:szCs w:val="24"/>
    </w:rPr>
  </w:style>
  <w:style w:type="table" w:styleId="29">
    <w:name w:val="Table Grid"/>
    <w:basedOn w:val="2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autoRedefine/>
    <w:qFormat/>
    <w:uiPriority w:val="0"/>
    <w:rPr>
      <w:b/>
    </w:rPr>
  </w:style>
  <w:style w:type="character" w:styleId="32">
    <w:name w:val="page number"/>
    <w:basedOn w:val="30"/>
    <w:autoRedefine/>
    <w:qFormat/>
    <w:uiPriority w:val="0"/>
  </w:style>
  <w:style w:type="character" w:styleId="33">
    <w:name w:val="Hyperlink"/>
    <w:autoRedefine/>
    <w:qFormat/>
    <w:uiPriority w:val="99"/>
    <w:rPr>
      <w:color w:val="0000FF"/>
      <w:u w:val="single"/>
    </w:rPr>
  </w:style>
  <w:style w:type="character" w:styleId="34">
    <w:name w:val="annotation reference"/>
    <w:autoRedefine/>
    <w:qFormat/>
    <w:uiPriority w:val="0"/>
    <w:rPr>
      <w:sz w:val="21"/>
      <w:szCs w:val="21"/>
    </w:rPr>
  </w:style>
  <w:style w:type="character" w:customStyle="1" w:styleId="35">
    <w:name w:val="样式 黑体 四号 Char Char"/>
    <w:link w:val="36"/>
    <w:autoRedefine/>
    <w:qFormat/>
    <w:uiPriority w:val="0"/>
    <w:rPr>
      <w:rFonts w:ascii="黑体" w:hAnsi="Arial" w:eastAsia="黑体" w:cs="Arial"/>
      <w:b/>
      <w:bCs/>
      <w:kern w:val="2"/>
      <w:sz w:val="28"/>
      <w:szCs w:val="28"/>
      <w:lang w:val="en-US" w:eastAsia="zh-CN" w:bidi="ar-SA"/>
    </w:rPr>
  </w:style>
  <w:style w:type="paragraph" w:customStyle="1" w:styleId="36">
    <w:name w:val="样式 黑体 四号"/>
    <w:basedOn w:val="2"/>
    <w:link w:val="35"/>
    <w:autoRedefine/>
    <w:qFormat/>
    <w:uiPriority w:val="0"/>
    <w:rPr>
      <w:rFonts w:ascii="黑体" w:eastAsia="黑体"/>
      <w:sz w:val="28"/>
      <w:szCs w:val="28"/>
    </w:rPr>
  </w:style>
  <w:style w:type="character" w:customStyle="1" w:styleId="37">
    <w:name w:val="批注文字 字符"/>
    <w:link w:val="9"/>
    <w:autoRedefine/>
    <w:qFormat/>
    <w:uiPriority w:val="0"/>
    <w:rPr>
      <w:kern w:val="2"/>
      <w:sz w:val="21"/>
    </w:rPr>
  </w:style>
  <w:style w:type="character" w:customStyle="1" w:styleId="38">
    <w:name w:val="标题4 Char"/>
    <w:link w:val="39"/>
    <w:autoRedefine/>
    <w:qFormat/>
    <w:uiPriority w:val="0"/>
    <w:rPr>
      <w:rFonts w:eastAsia="宋体"/>
      <w:kern w:val="2"/>
      <w:sz w:val="21"/>
      <w:lang w:val="en-US" w:eastAsia="zh-CN" w:bidi="ar-SA"/>
    </w:rPr>
  </w:style>
  <w:style w:type="paragraph" w:customStyle="1" w:styleId="39">
    <w:name w:val="标题4"/>
    <w:basedOn w:val="1"/>
    <w:link w:val="38"/>
    <w:autoRedefine/>
    <w:qFormat/>
    <w:uiPriority w:val="0"/>
    <w:pPr>
      <w:numPr>
        <w:ilvl w:val="0"/>
        <w:numId w:val="1"/>
      </w:numPr>
    </w:pPr>
    <w:rPr>
      <w:szCs w:val="20"/>
    </w:rPr>
  </w:style>
  <w:style w:type="character" w:styleId="40">
    <w:name w:val="Placeholder Text"/>
    <w:unhideWhenUsed/>
    <w:qFormat/>
    <w:uiPriority w:val="99"/>
    <w:rPr>
      <w:color w:val="808080"/>
    </w:rPr>
  </w:style>
  <w:style w:type="character" w:customStyle="1" w:styleId="41">
    <w:name w:val="批注主题 字符"/>
    <w:basedOn w:val="37"/>
    <w:link w:val="27"/>
    <w:autoRedefine/>
    <w:qFormat/>
    <w:uiPriority w:val="0"/>
    <w:rPr>
      <w:kern w:val="2"/>
      <w:sz w:val="21"/>
    </w:rPr>
  </w:style>
  <w:style w:type="character" w:customStyle="1" w:styleId="42">
    <w:name w:val="样式 黑体 四号 Char"/>
    <w:autoRedefine/>
    <w:qFormat/>
    <w:uiPriority w:val="0"/>
    <w:rPr>
      <w:rFonts w:ascii="黑体" w:hAnsi="Arial" w:eastAsia="黑体" w:cs="Arial"/>
      <w:b/>
      <w:bCs/>
      <w:kern w:val="2"/>
      <w:sz w:val="28"/>
      <w:szCs w:val="28"/>
      <w:lang w:val="en-US" w:eastAsia="zh-CN" w:bidi="ar-SA"/>
    </w:rPr>
  </w:style>
  <w:style w:type="character" w:customStyle="1" w:styleId="43">
    <w:name w:val="页眉 字符"/>
    <w:link w:val="20"/>
    <w:autoRedefine/>
    <w:qFormat/>
    <w:uiPriority w:val="0"/>
    <w:rPr>
      <w:rFonts w:eastAsia="宋体"/>
      <w:kern w:val="2"/>
      <w:sz w:val="18"/>
      <w:szCs w:val="18"/>
      <w:lang w:val="en-US" w:eastAsia="zh-CN" w:bidi="ar-SA"/>
    </w:rPr>
  </w:style>
  <w:style w:type="character" w:customStyle="1" w:styleId="44">
    <w:name w:val="apple-converted-space"/>
    <w:basedOn w:val="30"/>
    <w:autoRedefine/>
    <w:qFormat/>
    <w:uiPriority w:val="0"/>
  </w:style>
  <w:style w:type="character" w:customStyle="1" w:styleId="45">
    <w:name w:val="a9_text1"/>
    <w:autoRedefine/>
    <w:qFormat/>
    <w:uiPriority w:val="0"/>
    <w:rPr>
      <w:rFonts w:hint="default" w:ascii="Arial" w:hAnsi="Arial" w:cs="Arial"/>
      <w:color w:val="525252"/>
      <w:sz w:val="18"/>
      <w:szCs w:val="18"/>
      <w:u w:val="none"/>
    </w:rPr>
  </w:style>
  <w:style w:type="character" w:customStyle="1" w:styleId="46">
    <w:name w:val="样式 黑体 小四 Char Char"/>
    <w:link w:val="47"/>
    <w:autoRedefine/>
    <w:qFormat/>
    <w:uiPriority w:val="0"/>
    <w:rPr>
      <w:rFonts w:cs="Arial" w:asciiTheme="minorEastAsia" w:hAnsiTheme="minorEastAsia" w:eastAsiaTheme="minorEastAsia"/>
      <w:b/>
      <w:bCs/>
      <w:kern w:val="2"/>
      <w:sz w:val="24"/>
      <w:szCs w:val="32"/>
    </w:rPr>
  </w:style>
  <w:style w:type="paragraph" w:customStyle="1" w:styleId="47">
    <w:name w:val="样式 黑体 小四"/>
    <w:basedOn w:val="2"/>
    <w:link w:val="46"/>
    <w:autoRedefine/>
    <w:qFormat/>
    <w:uiPriority w:val="0"/>
    <w:pPr>
      <w:spacing w:line="360" w:lineRule="auto"/>
    </w:pPr>
    <w:rPr>
      <w:rFonts w:asciiTheme="minorEastAsia" w:hAnsiTheme="minorEastAsia" w:eastAsiaTheme="minorEastAsia"/>
      <w:sz w:val="24"/>
    </w:rPr>
  </w:style>
  <w:style w:type="character" w:customStyle="1" w:styleId="48">
    <w:name w:val="页脚 字符"/>
    <w:link w:val="19"/>
    <w:autoRedefine/>
    <w:qFormat/>
    <w:uiPriority w:val="0"/>
    <w:rPr>
      <w:kern w:val="2"/>
      <w:sz w:val="24"/>
      <w:szCs w:val="24"/>
    </w:rPr>
  </w:style>
  <w:style w:type="character" w:customStyle="1" w:styleId="49">
    <w:name w:val="批注框文本 字符"/>
    <w:link w:val="18"/>
    <w:autoRedefine/>
    <w:qFormat/>
    <w:uiPriority w:val="0"/>
    <w:rPr>
      <w:kern w:val="2"/>
      <w:sz w:val="18"/>
      <w:szCs w:val="18"/>
    </w:rPr>
  </w:style>
  <w:style w:type="character" w:customStyle="1" w:styleId="50">
    <w:name w:val="标题 字符"/>
    <w:link w:val="2"/>
    <w:autoRedefine/>
    <w:qFormat/>
    <w:uiPriority w:val="10"/>
    <w:rPr>
      <w:rFonts w:ascii="Arial" w:hAnsi="Arial" w:cs="Arial"/>
      <w:b/>
      <w:bCs/>
      <w:kern w:val="2"/>
      <w:sz w:val="32"/>
      <w:szCs w:val="32"/>
    </w:rPr>
  </w:style>
  <w:style w:type="paragraph" w:customStyle="1" w:styleId="51">
    <w:name w:val="Char Char Char1 Char Char Char Char Char Char Char Char Char Char"/>
    <w:basedOn w:val="1"/>
    <w:autoRedefine/>
    <w:qFormat/>
    <w:uiPriority w:val="0"/>
    <w:pPr>
      <w:widowControl/>
      <w:spacing w:after="160" w:line="240" w:lineRule="exact"/>
      <w:jc w:val="left"/>
    </w:pPr>
    <w:rPr>
      <w:rFonts w:ascii="Verdana" w:hAnsi="Verdana"/>
      <w:kern w:val="0"/>
      <w:sz w:val="18"/>
      <w:szCs w:val="20"/>
      <w:lang w:eastAsia="en-US"/>
    </w:rPr>
  </w:style>
  <w:style w:type="paragraph" w:customStyle="1" w:styleId="52">
    <w:name w:val="标准文件_四级条标题"/>
    <w:basedOn w:val="53"/>
    <w:next w:val="57"/>
    <w:qFormat/>
    <w:uiPriority w:val="0"/>
    <w:pPr>
      <w:numPr>
        <w:ilvl w:val="5"/>
      </w:numPr>
      <w:outlineLvl w:val="5"/>
    </w:pPr>
  </w:style>
  <w:style w:type="paragraph" w:customStyle="1" w:styleId="53">
    <w:name w:val="标准文件_三级条标题"/>
    <w:basedOn w:val="54"/>
    <w:next w:val="57"/>
    <w:autoRedefine/>
    <w:qFormat/>
    <w:uiPriority w:val="0"/>
    <w:pPr>
      <w:numPr>
        <w:ilvl w:val="4"/>
      </w:numPr>
      <w:ind w:left="-50"/>
      <w:outlineLvl w:val="4"/>
    </w:pPr>
  </w:style>
  <w:style w:type="paragraph" w:customStyle="1" w:styleId="54">
    <w:name w:val="标准文件_二级条标题"/>
    <w:basedOn w:val="55"/>
    <w:next w:val="57"/>
    <w:autoRedefine/>
    <w:qFormat/>
    <w:uiPriority w:val="0"/>
    <w:pPr>
      <w:numPr>
        <w:ilvl w:val="3"/>
      </w:numPr>
      <w:outlineLvl w:val="3"/>
    </w:pPr>
  </w:style>
  <w:style w:type="paragraph" w:customStyle="1" w:styleId="55">
    <w:name w:val="标准文件_一级条标题"/>
    <w:basedOn w:val="56"/>
    <w:next w:val="57"/>
    <w:autoRedefine/>
    <w:qFormat/>
    <w:uiPriority w:val="0"/>
    <w:pPr>
      <w:numPr>
        <w:ilvl w:val="2"/>
      </w:numPr>
      <w:outlineLvl w:val="2"/>
    </w:pPr>
  </w:style>
  <w:style w:type="paragraph" w:customStyle="1" w:styleId="56">
    <w:name w:val="标准文件_章标题"/>
    <w:next w:val="57"/>
    <w:autoRedefine/>
    <w:qFormat/>
    <w:uiPriority w:val="0"/>
    <w:pPr>
      <w:numPr>
        <w:ilvl w:val="1"/>
        <w:numId w:val="2"/>
      </w:numPr>
      <w:spacing w:beforeLines="50" w:afterLines="50"/>
      <w:ind w:right="-50" w:rightChars="-50"/>
      <w:jc w:val="both"/>
      <w:outlineLvl w:val="1"/>
    </w:pPr>
    <w:rPr>
      <w:rFonts w:ascii="黑体" w:hAnsi="Times New Roman" w:eastAsia="黑体" w:cs="Times New Roman"/>
      <w:spacing w:val="2"/>
      <w:sz w:val="21"/>
      <w:lang w:val="en-US" w:eastAsia="zh-CN" w:bidi="ar-SA"/>
    </w:rPr>
  </w:style>
  <w:style w:type="paragraph" w:customStyle="1" w:styleId="57">
    <w:name w:val="标准文件_段"/>
    <w:qFormat/>
    <w:uiPriority w:val="0"/>
    <w:pPr>
      <w:widowControl w:val="0"/>
      <w:autoSpaceDE w:val="0"/>
      <w:autoSpaceDN w:val="0"/>
      <w:spacing w:line="276" w:lineRule="auto"/>
      <w:ind w:firstLine="428" w:firstLineChars="200"/>
      <w:jc w:val="center"/>
    </w:pPr>
    <w:rPr>
      <w:rFonts w:ascii="Times New Roman" w:hAnsi="Times New Roman" w:eastAsia="宋体" w:cs="Times New Roman"/>
      <w:spacing w:val="2"/>
      <w:sz w:val="21"/>
      <w:szCs w:val="21"/>
      <w:lang w:val="en-US" w:eastAsia="zh-CN" w:bidi="ar-SA"/>
    </w:rPr>
  </w:style>
  <w:style w:type="paragraph" w:customStyle="1" w:styleId="58">
    <w:name w:val="样式1"/>
    <w:basedOn w:val="6"/>
    <w:autoRedefine/>
    <w:qFormat/>
    <w:uiPriority w:val="0"/>
  </w:style>
  <w:style w:type="paragraph" w:customStyle="1" w:styleId="59">
    <w:name w:val="样式 黑体 小三 居中1"/>
    <w:basedOn w:val="2"/>
    <w:autoRedefine/>
    <w:qFormat/>
    <w:uiPriority w:val="0"/>
    <w:pPr>
      <w:ind w:firstLine="602"/>
      <w:jc w:val="center"/>
    </w:pPr>
    <w:rPr>
      <w:rFonts w:ascii="黑体" w:hAnsi="黑体" w:eastAsia="黑体" w:cs="宋体"/>
      <w:sz w:val="30"/>
      <w:szCs w:val="20"/>
    </w:rPr>
  </w:style>
  <w:style w:type="paragraph" w:customStyle="1" w:styleId="60">
    <w:name w:val="Char"/>
    <w:basedOn w:val="1"/>
    <w:autoRedefine/>
    <w:qFormat/>
    <w:uiPriority w:val="0"/>
    <w:pPr>
      <w:widowControl/>
      <w:spacing w:after="160" w:line="240" w:lineRule="exact"/>
      <w:jc w:val="left"/>
    </w:pPr>
    <w:rPr>
      <w:rFonts w:ascii="Verdana" w:hAnsi="Verdana"/>
      <w:kern w:val="0"/>
      <w:sz w:val="18"/>
      <w:szCs w:val="20"/>
      <w:lang w:eastAsia="en-US"/>
    </w:rPr>
  </w:style>
  <w:style w:type="paragraph" w:customStyle="1" w:styleId="61">
    <w:name w:val="标准文件_五级条标题"/>
    <w:basedOn w:val="52"/>
    <w:next w:val="57"/>
    <w:autoRedefine/>
    <w:qFormat/>
    <w:uiPriority w:val="0"/>
    <w:pPr>
      <w:numPr>
        <w:ilvl w:val="6"/>
      </w:numPr>
      <w:outlineLvl w:val="6"/>
    </w:pPr>
  </w:style>
  <w:style w:type="paragraph" w:customStyle="1" w:styleId="62">
    <w:name w:val="标准文件_标准代替"/>
    <w:basedOn w:val="1"/>
    <w:next w:val="1"/>
    <w:autoRedefine/>
    <w:qFormat/>
    <w:uiPriority w:val="0"/>
    <w:pPr>
      <w:adjustRightInd w:val="0"/>
      <w:spacing w:line="310" w:lineRule="exact"/>
      <w:jc w:val="right"/>
    </w:pPr>
    <w:rPr>
      <w:rFonts w:ascii="宋体"/>
      <w:kern w:val="0"/>
      <w:szCs w:val="20"/>
    </w:rPr>
  </w:style>
  <w:style w:type="paragraph" w:customStyle="1" w:styleId="63">
    <w:name w:val="样式 标准文件_段 + 小四"/>
    <w:basedOn w:val="3"/>
    <w:autoRedefine/>
    <w:qFormat/>
    <w:uiPriority w:val="0"/>
    <w:rPr>
      <w:rFonts w:cs="宋体"/>
      <w:b w:val="0"/>
      <w:sz w:val="24"/>
    </w:rPr>
  </w:style>
  <w:style w:type="paragraph" w:customStyle="1" w:styleId="64">
    <w:name w:val="样式 黑体 小三 居中"/>
    <w:basedOn w:val="2"/>
    <w:autoRedefine/>
    <w:qFormat/>
    <w:uiPriority w:val="0"/>
    <w:rPr>
      <w:rFonts w:ascii="黑体" w:hAnsi="黑体" w:eastAsia="黑体" w:cs="宋体"/>
      <w:sz w:val="30"/>
      <w:szCs w:val="20"/>
    </w:rPr>
  </w:style>
  <w:style w:type="paragraph" w:customStyle="1" w:styleId="65">
    <w:name w:val="封面标准英文名称"/>
    <w:autoRedefine/>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66">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character" w:customStyle="1" w:styleId="67">
    <w:name w:val="标题 3 字符"/>
    <w:basedOn w:val="30"/>
    <w:link w:val="5"/>
    <w:autoRedefine/>
    <w:qFormat/>
    <w:uiPriority w:val="0"/>
    <w:rPr>
      <w:b/>
      <w:bCs/>
      <w:kern w:val="2"/>
      <w:sz w:val="28"/>
      <w:szCs w:val="24"/>
    </w:rPr>
  </w:style>
  <w:style w:type="paragraph" w:customStyle="1" w:styleId="68">
    <w:name w:val="Body text|1"/>
    <w:basedOn w:val="1"/>
    <w:link w:val="71"/>
    <w:autoRedefine/>
    <w:qFormat/>
    <w:uiPriority w:val="0"/>
    <w:pPr>
      <w:spacing w:line="374" w:lineRule="auto"/>
      <w:ind w:firstLine="390"/>
    </w:pPr>
    <w:rPr>
      <w:rFonts w:ascii="宋体" w:hAnsi="宋体" w:cs="宋体"/>
      <w:sz w:val="17"/>
      <w:szCs w:val="17"/>
      <w:lang w:val="zh-TW" w:eastAsia="zh-TW" w:bidi="zh-TW"/>
    </w:rPr>
  </w:style>
  <w:style w:type="paragraph" w:customStyle="1" w:styleId="69">
    <w:name w:val="Other|1"/>
    <w:basedOn w:val="1"/>
    <w:link w:val="73"/>
    <w:autoRedefine/>
    <w:qFormat/>
    <w:uiPriority w:val="0"/>
    <w:pPr>
      <w:spacing w:line="374" w:lineRule="auto"/>
      <w:ind w:firstLine="390"/>
    </w:pPr>
    <w:rPr>
      <w:rFonts w:ascii="宋体" w:hAnsi="宋体" w:cs="宋体"/>
      <w:sz w:val="17"/>
      <w:szCs w:val="17"/>
      <w:lang w:val="zh-TW" w:eastAsia="zh-TW" w:bidi="zh-TW"/>
    </w:rPr>
  </w:style>
  <w:style w:type="paragraph" w:customStyle="1" w:styleId="70">
    <w:name w:val="Body text|2"/>
    <w:basedOn w:val="1"/>
    <w:link w:val="72"/>
    <w:autoRedefine/>
    <w:qFormat/>
    <w:uiPriority w:val="0"/>
    <w:pPr>
      <w:spacing w:line="264" w:lineRule="auto"/>
      <w:ind w:firstLine="380"/>
    </w:pPr>
    <w:rPr>
      <w:rFonts w:ascii="宋体" w:hAnsi="宋体" w:cs="宋体"/>
      <w:sz w:val="19"/>
      <w:szCs w:val="19"/>
    </w:rPr>
  </w:style>
  <w:style w:type="character" w:customStyle="1" w:styleId="71">
    <w:name w:val="Body text|1_"/>
    <w:basedOn w:val="30"/>
    <w:link w:val="68"/>
    <w:autoRedefine/>
    <w:qFormat/>
    <w:uiPriority w:val="0"/>
    <w:rPr>
      <w:rFonts w:ascii="宋体" w:hAnsi="宋体" w:eastAsia="宋体" w:cs="宋体"/>
      <w:kern w:val="2"/>
      <w:sz w:val="17"/>
      <w:szCs w:val="17"/>
      <w:lang w:val="zh-TW" w:eastAsia="zh-TW" w:bidi="zh-TW"/>
    </w:rPr>
  </w:style>
  <w:style w:type="character" w:customStyle="1" w:styleId="72">
    <w:name w:val="Body text|2_"/>
    <w:basedOn w:val="30"/>
    <w:link w:val="70"/>
    <w:autoRedefine/>
    <w:qFormat/>
    <w:uiPriority w:val="0"/>
    <w:rPr>
      <w:rFonts w:ascii="宋体" w:hAnsi="宋体" w:eastAsia="宋体" w:cs="宋体"/>
      <w:kern w:val="2"/>
      <w:sz w:val="19"/>
      <w:szCs w:val="19"/>
    </w:rPr>
  </w:style>
  <w:style w:type="character" w:customStyle="1" w:styleId="73">
    <w:name w:val="Other|1_"/>
    <w:basedOn w:val="30"/>
    <w:link w:val="69"/>
    <w:autoRedefine/>
    <w:qFormat/>
    <w:uiPriority w:val="0"/>
    <w:rPr>
      <w:rFonts w:ascii="宋体" w:hAnsi="宋体" w:eastAsia="宋体" w:cs="宋体"/>
      <w:kern w:val="2"/>
      <w:sz w:val="17"/>
      <w:szCs w:val="17"/>
      <w:lang w:val="zh-TW" w:eastAsia="zh-TW" w:bidi="zh-TW"/>
    </w:rPr>
  </w:style>
  <w:style w:type="character" w:customStyle="1" w:styleId="74">
    <w:name w:val="正文文本缩进 2 字符"/>
    <w:basedOn w:val="30"/>
    <w:link w:val="17"/>
    <w:autoRedefine/>
    <w:qFormat/>
    <w:uiPriority w:val="0"/>
    <w:rPr>
      <w:rFonts w:ascii="黑体" w:hAnsi="黑体" w:eastAsia="黑体"/>
      <w:spacing w:val="-20"/>
      <w:kern w:val="2"/>
      <w:sz w:val="28"/>
      <w:szCs w:val="28"/>
    </w:rPr>
  </w:style>
  <w:style w:type="paragraph" w:customStyle="1" w:styleId="75">
    <w:name w:val="正文文本1"/>
    <w:basedOn w:val="1"/>
    <w:autoRedefine/>
    <w:qFormat/>
    <w:uiPriority w:val="0"/>
    <w:pPr>
      <w:spacing w:after="80" w:line="324" w:lineRule="auto"/>
    </w:pPr>
    <w:rPr>
      <w:rFonts w:ascii="宋体" w:hAnsi="宋体" w:cs="宋体"/>
      <w:sz w:val="20"/>
      <w:szCs w:val="20"/>
      <w:lang w:val="zh-CN" w:bidi="zh-CN"/>
    </w:rPr>
  </w:style>
  <w:style w:type="paragraph" w:customStyle="1" w:styleId="76">
    <w:name w:val="TOC 标题1"/>
    <w:basedOn w:val="3"/>
    <w:next w:val="1"/>
    <w:autoRedefine/>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styleId="77">
    <w:name w:val="List Paragraph"/>
    <w:basedOn w:val="1"/>
    <w:autoRedefine/>
    <w:unhideWhenUsed/>
    <w:qFormat/>
    <w:uiPriority w:val="99"/>
    <w:pPr>
      <w:ind w:firstLine="420" w:firstLineChars="200"/>
    </w:pPr>
  </w:style>
  <w:style w:type="character" w:customStyle="1" w:styleId="78">
    <w:name w:val="正文文本 字符"/>
    <w:basedOn w:val="30"/>
    <w:link w:val="10"/>
    <w:qFormat/>
    <w:uiPriority w:val="1"/>
    <w:rPr>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2.jpeg"/><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CIMM</Company>
  <Pages>11</Pages>
  <Words>4164</Words>
  <Characters>4589</Characters>
  <Lines>20</Lines>
  <Paragraphs>13</Paragraphs>
  <TotalTime>0</TotalTime>
  <ScaleCrop>false</ScaleCrop>
  <LinksUpToDate>false</LinksUpToDate>
  <CharactersWithSpaces>5141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2024-12-17T00:21:00Z</dcterms:created>
  <dc:creator>Chad</dc:creator>
  <cp:lastModifiedBy>依然Mr.沈</cp:lastModifiedBy>
  <cp:lastPrinted>2024-12-17T00:21:00Z</cp:lastPrinted>
  <dcterms:modified xsi:type="dcterms:W3CDTF">2024-12-24T07:47:53Z</dcterms:modified>
  <dc:title>JJF</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2052-12.1.0.19770</vt:lpwstr>
  </property>
  <property fmtid="{D5CDD505-2E9C-101B-9397-08002B2CF9AE}" pid="4" name="ICV">
    <vt:lpwstr>74DC188776A9494DABFFF5C0FB9BBDCD</vt:lpwstr>
  </property>
</Properties>
</file>